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8232C" w14:textId="246F6B2B" w:rsidR="00EF7BD8" w:rsidRDefault="00EF7BD8" w:rsidP="00F728AC"/>
    <w:p w14:paraId="616F176D" w14:textId="7DE2A362" w:rsidR="00770FE6" w:rsidRDefault="00770FE6" w:rsidP="00F728AC"/>
    <w:p w14:paraId="7AA2F14A" w14:textId="580FAC7A" w:rsidR="00770FE6" w:rsidRDefault="00770FE6" w:rsidP="00F728AC"/>
    <w:p w14:paraId="4312E2C2" w14:textId="3C463EC5" w:rsidR="00770FE6" w:rsidRPr="007E18CD" w:rsidRDefault="00770FE6" w:rsidP="00F728AC">
      <w:pPr>
        <w:rPr>
          <w:rFonts w:ascii="Arial" w:hAnsi="Arial" w:cs="Arial"/>
        </w:rPr>
      </w:pPr>
      <w:r w:rsidRPr="007E18CD">
        <w:rPr>
          <w:rFonts w:ascii="Arial" w:hAnsi="Arial" w:cs="Arial"/>
        </w:rPr>
        <w:t>August 12, 20</w:t>
      </w:r>
      <w:r w:rsidR="0076607A">
        <w:rPr>
          <w:rFonts w:ascii="Arial" w:hAnsi="Arial" w:cs="Arial"/>
        </w:rPr>
        <w:t>2</w:t>
      </w:r>
      <w:r w:rsidRPr="007E18CD">
        <w:rPr>
          <w:rFonts w:ascii="Arial" w:hAnsi="Arial" w:cs="Arial"/>
        </w:rPr>
        <w:t>2</w:t>
      </w:r>
    </w:p>
    <w:p w14:paraId="1F4DA7A9" w14:textId="7EBB222F" w:rsidR="0039520E" w:rsidRPr="007E18CD" w:rsidRDefault="007E18CD" w:rsidP="00770FE6">
      <w:pPr>
        <w:rPr>
          <w:rFonts w:ascii="Arial" w:eastAsia="Times New Roman" w:hAnsi="Arial" w:cs="Arial"/>
          <w:color w:val="000000"/>
        </w:rPr>
      </w:pPr>
      <w:r w:rsidRPr="007E18CD">
        <w:rPr>
          <w:rFonts w:ascii="Arial" w:hAnsi="Arial" w:cs="Arial"/>
        </w:rPr>
        <w:t xml:space="preserve">Comments submitted by </w:t>
      </w:r>
      <w:r>
        <w:rPr>
          <w:rFonts w:ascii="Arial" w:hAnsi="Arial" w:cs="Arial"/>
        </w:rPr>
        <w:t>Beyond Celiac</w:t>
      </w:r>
      <w:r>
        <w:rPr>
          <w:rFonts w:ascii="Arial" w:hAnsi="Arial" w:cs="Arial"/>
        </w:rPr>
        <w:br/>
      </w:r>
      <w:r w:rsidRPr="007E18CD">
        <w:rPr>
          <w:rFonts w:ascii="Arial" w:hAnsi="Arial" w:cs="Arial"/>
        </w:rPr>
        <w:t xml:space="preserve">In response to Docket Number FDA-2021-N-0553-0005 </w:t>
      </w:r>
      <w:r>
        <w:rPr>
          <w:rFonts w:ascii="Arial" w:hAnsi="Arial" w:cs="Arial"/>
        </w:rPr>
        <w:br/>
      </w:r>
      <w:r w:rsidRPr="007E18CD">
        <w:rPr>
          <w:rFonts w:ascii="Arial" w:hAnsi="Arial" w:cs="Arial"/>
        </w:rPr>
        <w:t xml:space="preserve">Email: </w:t>
      </w:r>
      <w:hyperlink r:id="rId8" w:history="1">
        <w:r w:rsidRPr="008F1BBB">
          <w:rPr>
            <w:rStyle w:val="Hyperlink"/>
            <w:rFonts w:ascii="Arial" w:hAnsi="Arial" w:cs="Arial"/>
          </w:rPr>
          <w:t>info@beyondceliac.org</w:t>
        </w:r>
      </w:hyperlink>
      <w:r>
        <w:rPr>
          <w:rFonts w:ascii="Arial" w:hAnsi="Arial" w:cs="Arial"/>
        </w:rPr>
        <w:br/>
      </w:r>
      <w:r w:rsidRPr="007E18CD">
        <w:rPr>
          <w:rFonts w:ascii="Arial" w:hAnsi="Arial" w:cs="Arial"/>
        </w:rPr>
        <w:t xml:space="preserve">Web: </w:t>
      </w:r>
      <w:hyperlink r:id="rId9" w:history="1">
        <w:r w:rsidRPr="008F1BBB">
          <w:rPr>
            <w:rStyle w:val="Hyperlink"/>
            <w:rFonts w:ascii="Arial" w:hAnsi="Arial" w:cs="Arial"/>
          </w:rPr>
          <w:t>www.beyondceliac.org</w:t>
        </w:r>
      </w:hyperlink>
      <w:r>
        <w:rPr>
          <w:rFonts w:ascii="Arial" w:hAnsi="Arial" w:cs="Arial"/>
        </w:rPr>
        <w:t xml:space="preserve"> </w:t>
      </w:r>
    </w:p>
    <w:p w14:paraId="3A4FA8E2" w14:textId="30A097CD" w:rsidR="0039520E" w:rsidRDefault="00206440" w:rsidP="00770FE6">
      <w:pPr>
        <w:rPr>
          <w:rFonts w:ascii="Arial" w:eastAsia="Times New Roman" w:hAnsi="Arial" w:cs="Arial"/>
          <w:color w:val="000000"/>
        </w:rPr>
      </w:pPr>
      <w:r>
        <w:rPr>
          <w:rFonts w:ascii="Arial" w:eastAsia="Times New Roman" w:hAnsi="Arial" w:cs="Arial"/>
          <w:color w:val="000000"/>
        </w:rPr>
        <w:t>Food and Drug Administration,</w:t>
      </w:r>
    </w:p>
    <w:p w14:paraId="04BA4ED8" w14:textId="473794AE" w:rsidR="00770FE6" w:rsidRDefault="00770FE6" w:rsidP="00770FE6">
      <w:pPr>
        <w:rPr>
          <w:rFonts w:ascii="Arial" w:eastAsia="Times New Roman" w:hAnsi="Arial" w:cs="Arial"/>
          <w:color w:val="000000"/>
        </w:rPr>
      </w:pPr>
      <w:r w:rsidRPr="00EF1435">
        <w:rPr>
          <w:rFonts w:ascii="Arial" w:eastAsia="Times New Roman" w:hAnsi="Arial" w:cs="Arial"/>
          <w:color w:val="000000"/>
        </w:rPr>
        <w:t xml:space="preserve">Beyond Celiac is a patient advocacy </w:t>
      </w:r>
      <w:r>
        <w:rPr>
          <w:rFonts w:ascii="Arial" w:eastAsia="Times New Roman" w:hAnsi="Arial" w:cs="Arial"/>
          <w:color w:val="000000"/>
        </w:rPr>
        <w:t>organization</w:t>
      </w:r>
      <w:r w:rsidRPr="00EF1435">
        <w:rPr>
          <w:rFonts w:ascii="Arial" w:eastAsia="Times New Roman" w:hAnsi="Arial" w:cs="Arial"/>
          <w:color w:val="000000"/>
        </w:rPr>
        <w:t xml:space="preserve"> dedicated to finding new treatments and a cure for celiac disease, while also improving the lives of those currently living with celiac disease. Unfortunately, the only existing treatment for celiac disease is a strict, lifelong gluten-free diet. Gluten is found in wheat</w:t>
      </w:r>
      <w:r>
        <w:rPr>
          <w:rFonts w:ascii="Arial" w:eastAsia="Times New Roman" w:hAnsi="Arial" w:cs="Arial"/>
          <w:color w:val="000000"/>
        </w:rPr>
        <w:t>, which is one of the</w:t>
      </w:r>
      <w:r w:rsidRPr="00EF1435">
        <w:rPr>
          <w:rFonts w:ascii="Arial" w:eastAsia="Times New Roman" w:hAnsi="Arial" w:cs="Arial"/>
          <w:color w:val="000000"/>
        </w:rPr>
        <w:t xml:space="preserve"> top 9 allergen</w:t>
      </w:r>
      <w:r>
        <w:rPr>
          <w:rFonts w:ascii="Arial" w:eastAsia="Times New Roman" w:hAnsi="Arial" w:cs="Arial"/>
          <w:color w:val="000000"/>
        </w:rPr>
        <w:t>s</w:t>
      </w:r>
      <w:r w:rsidRPr="00EF1435">
        <w:rPr>
          <w:rFonts w:ascii="Arial" w:eastAsia="Times New Roman" w:hAnsi="Arial" w:cs="Arial"/>
          <w:color w:val="000000"/>
        </w:rPr>
        <w:t xml:space="preserve"> and</w:t>
      </w:r>
      <w:r>
        <w:rPr>
          <w:rFonts w:ascii="Arial" w:eastAsia="Times New Roman" w:hAnsi="Arial" w:cs="Arial"/>
          <w:color w:val="000000"/>
        </w:rPr>
        <w:t>,</w:t>
      </w:r>
      <w:r w:rsidRPr="00EF1435">
        <w:rPr>
          <w:rFonts w:ascii="Arial" w:eastAsia="Times New Roman" w:hAnsi="Arial" w:cs="Arial"/>
          <w:color w:val="000000"/>
        </w:rPr>
        <w:t xml:space="preserve"> therefore</w:t>
      </w:r>
      <w:r>
        <w:rPr>
          <w:rFonts w:ascii="Arial" w:eastAsia="Times New Roman" w:hAnsi="Arial" w:cs="Arial"/>
          <w:color w:val="000000"/>
        </w:rPr>
        <w:t>,</w:t>
      </w:r>
      <w:r w:rsidRPr="00EF1435">
        <w:rPr>
          <w:rFonts w:ascii="Arial" w:eastAsia="Times New Roman" w:hAnsi="Arial" w:cs="Arial"/>
          <w:color w:val="000000"/>
        </w:rPr>
        <w:t xml:space="preserve"> reliably labeled under the Food Allergen Labeling and Consumer Protection Act (FALCPA)</w:t>
      </w:r>
      <w:r>
        <w:rPr>
          <w:rFonts w:ascii="Arial" w:eastAsia="Times New Roman" w:hAnsi="Arial" w:cs="Arial"/>
          <w:color w:val="000000"/>
        </w:rPr>
        <w:t>. Gluten is also found</w:t>
      </w:r>
      <w:r w:rsidRPr="00EF1435">
        <w:rPr>
          <w:rFonts w:ascii="Arial" w:eastAsia="Times New Roman" w:hAnsi="Arial" w:cs="Arial"/>
          <w:color w:val="000000"/>
        </w:rPr>
        <w:t xml:space="preserve"> in barley and rye</w:t>
      </w:r>
      <w:r>
        <w:rPr>
          <w:rFonts w:ascii="Arial" w:eastAsia="Times New Roman" w:hAnsi="Arial" w:cs="Arial"/>
          <w:color w:val="000000"/>
        </w:rPr>
        <w:t>, which are not top 9 allergens and therefore not called out on labels</w:t>
      </w:r>
      <w:r w:rsidRPr="00EF1435">
        <w:rPr>
          <w:rFonts w:ascii="Arial" w:eastAsia="Times New Roman" w:hAnsi="Arial" w:cs="Arial"/>
          <w:color w:val="000000"/>
        </w:rPr>
        <w:t xml:space="preserve">. </w:t>
      </w:r>
    </w:p>
    <w:p w14:paraId="20A86CEE" w14:textId="77777777" w:rsidR="00770FE6" w:rsidRPr="00EF1435" w:rsidRDefault="00770FE6" w:rsidP="00770FE6">
      <w:pPr>
        <w:rPr>
          <w:rFonts w:ascii="Times New Roman" w:eastAsia="Times New Roman" w:hAnsi="Times New Roman" w:cs="Times New Roman"/>
        </w:rPr>
      </w:pPr>
      <w:r w:rsidRPr="00EF1435">
        <w:rPr>
          <w:rFonts w:ascii="Arial" w:eastAsia="Times New Roman" w:hAnsi="Arial" w:cs="Arial"/>
          <w:color w:val="000000"/>
        </w:rPr>
        <w:t xml:space="preserve">Unlike other conditions where there are options to manage inadvertent exposure, those with celiac disease </w:t>
      </w:r>
      <w:r>
        <w:rPr>
          <w:rFonts w:ascii="Arial" w:eastAsia="Times New Roman" w:hAnsi="Arial" w:cs="Arial"/>
          <w:color w:val="000000"/>
        </w:rPr>
        <w:t xml:space="preserve">must </w:t>
      </w:r>
      <w:r w:rsidRPr="00EF1435">
        <w:rPr>
          <w:rFonts w:ascii="Arial" w:eastAsia="Times New Roman" w:hAnsi="Arial" w:cs="Arial"/>
          <w:color w:val="000000"/>
        </w:rPr>
        <w:t xml:space="preserve">rely solely on accurate </w:t>
      </w:r>
      <w:r>
        <w:rPr>
          <w:rFonts w:ascii="Arial" w:eastAsia="Times New Roman" w:hAnsi="Arial" w:cs="Arial"/>
          <w:color w:val="000000"/>
        </w:rPr>
        <w:t xml:space="preserve">and complete </w:t>
      </w:r>
      <w:r w:rsidRPr="00EF1435">
        <w:rPr>
          <w:rFonts w:ascii="Arial" w:eastAsia="Times New Roman" w:hAnsi="Arial" w:cs="Arial"/>
          <w:color w:val="000000"/>
        </w:rPr>
        <w:t>food label</w:t>
      </w:r>
      <w:r>
        <w:rPr>
          <w:rFonts w:ascii="Arial" w:eastAsia="Times New Roman" w:hAnsi="Arial" w:cs="Arial"/>
          <w:color w:val="000000"/>
        </w:rPr>
        <w:t>s</w:t>
      </w:r>
      <w:r w:rsidRPr="00EF1435">
        <w:rPr>
          <w:rFonts w:ascii="Arial" w:eastAsia="Times New Roman" w:hAnsi="Arial" w:cs="Arial"/>
          <w:color w:val="000000"/>
        </w:rPr>
        <w:t xml:space="preserve"> to maintain their health. </w:t>
      </w:r>
    </w:p>
    <w:p w14:paraId="3D5AB1E4" w14:textId="77777777" w:rsidR="00770FE6" w:rsidRPr="00EF1435" w:rsidRDefault="00770FE6" w:rsidP="00770FE6">
      <w:pPr>
        <w:rPr>
          <w:rFonts w:ascii="Times New Roman" w:eastAsia="Times New Roman" w:hAnsi="Times New Roman" w:cs="Times New Roman"/>
        </w:rPr>
      </w:pPr>
      <w:r w:rsidRPr="00EF1435">
        <w:rPr>
          <w:rFonts w:ascii="Arial" w:eastAsia="Times New Roman" w:hAnsi="Arial" w:cs="Arial"/>
          <w:color w:val="000000"/>
        </w:rPr>
        <w:t>Given that the labeling laws written and enforced by the FDA are some of the only protections for those with celiac disease in the United States, Beyond Celiac firmly opposes the draft guidance Evaluating the Public Health Importance of Food Allergens Other Than the Major Food Allergens Listed in the Federal Food, Drug, and Cosmetic Act: Guidance for FDA Staff and Stakeholders (Docket Number FDA-2021-N-0553-0005). The guidance s</w:t>
      </w:r>
      <w:r>
        <w:rPr>
          <w:rFonts w:ascii="Arial" w:eastAsia="Times New Roman" w:hAnsi="Arial" w:cs="Arial"/>
          <w:color w:val="000000"/>
        </w:rPr>
        <w:t>tates that</w:t>
      </w:r>
      <w:r w:rsidRPr="00EF1435">
        <w:rPr>
          <w:rFonts w:ascii="Arial" w:eastAsia="Times New Roman" w:hAnsi="Arial" w:cs="Arial"/>
          <w:color w:val="000000"/>
        </w:rPr>
        <w:t xml:space="preserve"> the FDA </w:t>
      </w:r>
      <w:r>
        <w:rPr>
          <w:rFonts w:ascii="Arial" w:eastAsia="Times New Roman" w:hAnsi="Arial" w:cs="Arial"/>
          <w:color w:val="000000"/>
        </w:rPr>
        <w:t xml:space="preserve">will </w:t>
      </w:r>
      <w:r w:rsidRPr="00EF1435">
        <w:rPr>
          <w:rFonts w:ascii="Arial" w:eastAsia="Times New Roman" w:hAnsi="Arial" w:cs="Arial"/>
          <w:color w:val="000000"/>
        </w:rPr>
        <w:t>not consider any petitions to add additional allergens under FALCPA, including gluten-containing grains, unless the allergen is proven to cause acute and life-threatening immune response.</w:t>
      </w:r>
      <w:r>
        <w:rPr>
          <w:rFonts w:ascii="Arial" w:eastAsia="Times New Roman" w:hAnsi="Arial" w:cs="Arial"/>
          <w:color w:val="000000"/>
        </w:rPr>
        <w:t xml:space="preserve"> Beyond Celiac objects to this approach as it is detrimental to the gluten-free community.  </w:t>
      </w:r>
    </w:p>
    <w:p w14:paraId="22A701F9" w14:textId="77777777" w:rsidR="00770FE6" w:rsidRPr="00EF1435" w:rsidRDefault="00770FE6" w:rsidP="00770FE6">
      <w:pPr>
        <w:rPr>
          <w:rFonts w:ascii="Times New Roman" w:eastAsia="Times New Roman" w:hAnsi="Times New Roman" w:cs="Times New Roman"/>
        </w:rPr>
      </w:pPr>
      <w:r w:rsidRPr="00EF1435">
        <w:rPr>
          <w:rFonts w:ascii="Arial" w:eastAsia="Times New Roman" w:hAnsi="Arial" w:cs="Arial"/>
          <w:color w:val="000000"/>
        </w:rPr>
        <w:t xml:space="preserve">One might argue that consumers with celiac disease are already protected under FDA’s gluten-free labeling rule (20 CFR. § 101.91), but this rule offers incomplete protection as it applies only to products </w:t>
      </w:r>
      <w:r w:rsidRPr="00EF1435">
        <w:rPr>
          <w:rFonts w:ascii="Arial" w:eastAsia="Times New Roman" w:hAnsi="Arial" w:cs="Arial"/>
          <w:i/>
          <w:iCs/>
          <w:color w:val="000000"/>
        </w:rPr>
        <w:t>voluntarily</w:t>
      </w:r>
      <w:r w:rsidRPr="00EF1435">
        <w:rPr>
          <w:rFonts w:ascii="Arial" w:eastAsia="Times New Roman" w:hAnsi="Arial" w:cs="Arial"/>
          <w:color w:val="000000"/>
        </w:rPr>
        <w:t xml:space="preserve"> labeled gluten-free. For mainstream products without the gluten-free label, consumers have to play a kind of roulette in determining whether the products contain barley protein, which can be found in malt, malt extract, malt syrup, natural smoke flavor and more. In addition, the current guidelines don’t go far enough; research shows many adults and children on a strict gluten-free diet cannot completely avoid gluten and continue to suffer intestinal inflammation and extraintestinal symptoms.</w:t>
      </w:r>
      <w:hyperlink r:id="rId10" w:history="1">
        <w:r w:rsidRPr="00EF1435">
          <w:rPr>
            <w:rFonts w:ascii="Arial" w:eastAsia="Times New Roman" w:hAnsi="Arial" w:cs="Arial"/>
            <w:color w:val="1155CC"/>
            <w:u w:val="single"/>
          </w:rPr>
          <w:t>1</w:t>
        </w:r>
      </w:hyperlink>
      <w:r w:rsidRPr="00EF1435">
        <w:rPr>
          <w:rFonts w:ascii="Arial" w:eastAsia="Times New Roman" w:hAnsi="Arial" w:cs="Arial"/>
          <w:color w:val="000000"/>
        </w:rPr>
        <w:t xml:space="preserve"> </w:t>
      </w:r>
      <w:hyperlink r:id="rId11" w:history="1">
        <w:r w:rsidRPr="00EF1435">
          <w:rPr>
            <w:rFonts w:ascii="Arial" w:eastAsia="Times New Roman" w:hAnsi="Arial" w:cs="Arial"/>
            <w:color w:val="1155CC"/>
            <w:u w:val="single"/>
          </w:rPr>
          <w:t>2</w:t>
        </w:r>
      </w:hyperlink>
      <w:r w:rsidRPr="00EF1435">
        <w:rPr>
          <w:rFonts w:ascii="Arial" w:eastAsia="Times New Roman" w:hAnsi="Arial" w:cs="Arial"/>
          <w:color w:val="000000"/>
        </w:rPr>
        <w:t xml:space="preserve"> </w:t>
      </w:r>
      <w:hyperlink r:id="rId12" w:history="1">
        <w:r w:rsidRPr="00EF1435">
          <w:rPr>
            <w:rFonts w:ascii="Arial" w:eastAsia="Times New Roman" w:hAnsi="Arial" w:cs="Arial"/>
            <w:color w:val="1155CC"/>
            <w:u w:val="single"/>
          </w:rPr>
          <w:t>3</w:t>
        </w:r>
      </w:hyperlink>
    </w:p>
    <w:p w14:paraId="770FC7EE" w14:textId="4E54E453" w:rsidR="00770FE6" w:rsidRDefault="00770FE6" w:rsidP="00770FE6">
      <w:pPr>
        <w:rPr>
          <w:rFonts w:ascii="Arial" w:eastAsia="Times New Roman" w:hAnsi="Arial" w:cs="Arial"/>
          <w:color w:val="000000"/>
        </w:rPr>
      </w:pPr>
      <w:r w:rsidRPr="00EF1435">
        <w:rPr>
          <w:rFonts w:ascii="Arial" w:eastAsia="Times New Roman" w:hAnsi="Arial" w:cs="Arial"/>
          <w:color w:val="000000"/>
        </w:rPr>
        <w:t>In the draft guidance</w:t>
      </w:r>
      <w:r>
        <w:rPr>
          <w:rFonts w:ascii="Arial" w:eastAsia="Times New Roman" w:hAnsi="Arial" w:cs="Arial"/>
          <w:color w:val="000000"/>
        </w:rPr>
        <w:t>,</w:t>
      </w:r>
      <w:r w:rsidRPr="00EF1435">
        <w:rPr>
          <w:rFonts w:ascii="Arial" w:eastAsia="Times New Roman" w:hAnsi="Arial" w:cs="Arial"/>
          <w:color w:val="000000"/>
        </w:rPr>
        <w:t xml:space="preserve"> the FDA notes that “constant food vigilance and fear of accidental</w:t>
      </w:r>
      <w:r>
        <w:rPr>
          <w:rFonts w:ascii="Arial" w:eastAsia="Times New Roman" w:hAnsi="Arial" w:cs="Arial"/>
          <w:color w:val="000000"/>
        </w:rPr>
        <w:t xml:space="preserve"> </w:t>
      </w:r>
      <w:r w:rsidRPr="00EF1435">
        <w:rPr>
          <w:rFonts w:ascii="Arial" w:eastAsia="Times New Roman" w:hAnsi="Arial" w:cs="Arial"/>
          <w:color w:val="000000"/>
        </w:rPr>
        <w:t>life-threatening reactions with every meal are daily, patient-centered challenges that can</w:t>
      </w:r>
      <w:r>
        <w:rPr>
          <w:rFonts w:ascii="Arial" w:eastAsia="Times New Roman" w:hAnsi="Arial" w:cs="Arial"/>
          <w:color w:val="000000"/>
        </w:rPr>
        <w:t xml:space="preserve"> </w:t>
      </w:r>
      <w:r w:rsidRPr="00EF1435">
        <w:rPr>
          <w:rFonts w:ascii="Arial" w:eastAsia="Times New Roman" w:hAnsi="Arial" w:cs="Arial"/>
          <w:color w:val="000000"/>
        </w:rPr>
        <w:lastRenderedPageBreak/>
        <w:t>accompany management of IgE-mediated food allergy. These patient-centered challenges have</w:t>
      </w:r>
      <w:r w:rsidR="0039520E">
        <w:rPr>
          <w:rFonts w:ascii="Arial" w:eastAsia="Times New Roman" w:hAnsi="Arial" w:cs="Arial"/>
          <w:color w:val="000000"/>
        </w:rPr>
        <w:t xml:space="preserve"> </w:t>
      </w:r>
      <w:r w:rsidRPr="00EF1435">
        <w:rPr>
          <w:rFonts w:ascii="Arial" w:eastAsia="Times New Roman" w:hAnsi="Arial" w:cs="Arial"/>
          <w:color w:val="000000"/>
        </w:rPr>
        <w:t xml:space="preserve">been shown to negatively impact the quality of life of food allergic individuals and their caregivers.” </w:t>
      </w:r>
    </w:p>
    <w:p w14:paraId="4DAC3FF5" w14:textId="77777777" w:rsidR="00770FE6" w:rsidRDefault="00770FE6" w:rsidP="00770FE6">
      <w:pPr>
        <w:rPr>
          <w:rFonts w:ascii="Arial" w:eastAsia="Times New Roman" w:hAnsi="Arial" w:cs="Arial"/>
          <w:color w:val="000000"/>
        </w:rPr>
      </w:pPr>
      <w:r>
        <w:rPr>
          <w:rFonts w:ascii="Arial" w:eastAsia="Times New Roman" w:hAnsi="Arial" w:cs="Arial"/>
          <w:color w:val="000000"/>
        </w:rPr>
        <w:t>Beyond Celiac</w:t>
      </w:r>
      <w:r w:rsidRPr="00EF1435">
        <w:rPr>
          <w:rFonts w:ascii="Arial" w:eastAsia="Times New Roman" w:hAnsi="Arial" w:cs="Arial"/>
          <w:color w:val="000000"/>
        </w:rPr>
        <w:t xml:space="preserve"> laud</w:t>
      </w:r>
      <w:r>
        <w:rPr>
          <w:rFonts w:ascii="Arial" w:eastAsia="Times New Roman" w:hAnsi="Arial" w:cs="Arial"/>
          <w:color w:val="000000"/>
        </w:rPr>
        <w:t>s</w:t>
      </w:r>
      <w:r w:rsidRPr="00EF1435">
        <w:rPr>
          <w:rFonts w:ascii="Arial" w:eastAsia="Times New Roman" w:hAnsi="Arial" w:cs="Arial"/>
          <w:color w:val="000000"/>
        </w:rPr>
        <w:t xml:space="preserve"> the FDA’s recognition of this burden for those who have food allergies. Those with celiac disease also deserve recognition of the burden the gluten-free diet creates for them. They also face food vigilance and fear of accidental exposure with every meal, every day</w:t>
      </w:r>
      <w:r>
        <w:rPr>
          <w:rFonts w:ascii="Arial" w:eastAsia="Times New Roman" w:hAnsi="Arial" w:cs="Arial"/>
          <w:color w:val="000000"/>
        </w:rPr>
        <w:t>.</w:t>
      </w:r>
      <w:r w:rsidRPr="00EF1435">
        <w:rPr>
          <w:rFonts w:ascii="Arial" w:eastAsia="Times New Roman" w:hAnsi="Arial" w:cs="Arial"/>
          <w:color w:val="000000"/>
        </w:rPr>
        <w:t xml:space="preserve"> </w:t>
      </w:r>
      <w:r>
        <w:rPr>
          <w:rFonts w:ascii="Arial" w:eastAsia="Times New Roman" w:hAnsi="Arial" w:cs="Arial"/>
          <w:color w:val="000000"/>
        </w:rPr>
        <w:t>S</w:t>
      </w:r>
      <w:r w:rsidRPr="00EF1435">
        <w:rPr>
          <w:rFonts w:ascii="Arial" w:eastAsia="Times New Roman" w:hAnsi="Arial" w:cs="Arial"/>
          <w:color w:val="000000"/>
        </w:rPr>
        <w:t xml:space="preserve">tudies have shown a negative impact on </w:t>
      </w:r>
      <w:r>
        <w:rPr>
          <w:rFonts w:ascii="Arial" w:eastAsia="Times New Roman" w:hAnsi="Arial" w:cs="Arial"/>
          <w:color w:val="000000"/>
        </w:rPr>
        <w:t xml:space="preserve">the </w:t>
      </w:r>
      <w:r w:rsidRPr="00EF1435">
        <w:rPr>
          <w:rFonts w:ascii="Arial" w:eastAsia="Times New Roman" w:hAnsi="Arial" w:cs="Arial"/>
          <w:color w:val="000000"/>
        </w:rPr>
        <w:t xml:space="preserve">quality of life for children, </w:t>
      </w:r>
      <w:proofErr w:type="gramStart"/>
      <w:r w:rsidRPr="00EF1435">
        <w:rPr>
          <w:rFonts w:ascii="Arial" w:eastAsia="Times New Roman" w:hAnsi="Arial" w:cs="Arial"/>
          <w:color w:val="000000"/>
        </w:rPr>
        <w:t>adolescents</w:t>
      </w:r>
      <w:proofErr w:type="gramEnd"/>
      <w:r w:rsidRPr="00EF1435">
        <w:rPr>
          <w:rFonts w:ascii="Arial" w:eastAsia="Times New Roman" w:hAnsi="Arial" w:cs="Arial"/>
          <w:color w:val="000000"/>
        </w:rPr>
        <w:t xml:space="preserve"> and young adults. </w:t>
      </w:r>
      <w:hyperlink r:id="rId13" w:history="1">
        <w:r w:rsidRPr="00EF1435">
          <w:rPr>
            <w:rFonts w:ascii="Arial" w:eastAsia="Times New Roman" w:hAnsi="Arial" w:cs="Arial"/>
            <w:color w:val="1155CC"/>
            <w:u w:val="single"/>
          </w:rPr>
          <w:t>4</w:t>
        </w:r>
      </w:hyperlink>
      <w:r w:rsidRPr="00EF1435">
        <w:rPr>
          <w:rFonts w:ascii="Arial" w:eastAsia="Times New Roman" w:hAnsi="Arial" w:cs="Arial"/>
          <w:color w:val="000000"/>
        </w:rPr>
        <w:t xml:space="preserve"> </w:t>
      </w:r>
      <w:hyperlink r:id="rId14" w:history="1">
        <w:r w:rsidRPr="00EF1435">
          <w:rPr>
            <w:rFonts w:ascii="Arial" w:eastAsia="Times New Roman" w:hAnsi="Arial" w:cs="Arial"/>
            <w:color w:val="1155CC"/>
            <w:u w:val="single"/>
          </w:rPr>
          <w:t>5</w:t>
        </w:r>
      </w:hyperlink>
      <w:r w:rsidRPr="00EF1435">
        <w:rPr>
          <w:rFonts w:ascii="Arial" w:eastAsia="Times New Roman" w:hAnsi="Arial" w:cs="Arial"/>
          <w:color w:val="000000"/>
        </w:rPr>
        <w:t xml:space="preserve"> Although they may not suffer from anaphylaxis, they have severe and debilitating symptoms as a result of ingesting gluten, including seizures (epilepsy), dermatitis herpetiformis (historically called the “suicide rash” because of how painful it is) infertility, and certain cancers. </w:t>
      </w:r>
    </w:p>
    <w:p w14:paraId="0082894F" w14:textId="77777777" w:rsidR="00770FE6" w:rsidRPr="00EF1435" w:rsidRDefault="00770FE6" w:rsidP="00770FE6">
      <w:pPr>
        <w:rPr>
          <w:rFonts w:ascii="Times New Roman" w:eastAsia="Times New Roman" w:hAnsi="Times New Roman" w:cs="Times New Roman"/>
        </w:rPr>
      </w:pPr>
      <w:r w:rsidRPr="00EF1435">
        <w:rPr>
          <w:rFonts w:ascii="Arial" w:eastAsia="Times New Roman" w:hAnsi="Arial" w:cs="Arial"/>
          <w:color w:val="000000"/>
        </w:rPr>
        <w:t xml:space="preserve">Most recently, research out of the University of Sheffield shows that gluten ingestion can cause white matter brain damage in patients with celiac disease. </w:t>
      </w:r>
      <w:hyperlink r:id="rId15" w:history="1">
        <w:r w:rsidRPr="00EF1435">
          <w:rPr>
            <w:rFonts w:ascii="Arial" w:eastAsia="Times New Roman" w:hAnsi="Arial" w:cs="Arial"/>
            <w:color w:val="1155CC"/>
            <w:u w:val="single"/>
          </w:rPr>
          <w:t>6</w:t>
        </w:r>
      </w:hyperlink>
      <w:r w:rsidRPr="00EF1435">
        <w:rPr>
          <w:rFonts w:ascii="Arial" w:eastAsia="Times New Roman" w:hAnsi="Arial" w:cs="Arial"/>
          <w:color w:val="000000"/>
        </w:rPr>
        <w:t xml:space="preserve"> Still more research shows that celiac disease has a burden comparable to end-stage renal disease. </w:t>
      </w:r>
      <w:hyperlink r:id="rId16" w:history="1">
        <w:r w:rsidRPr="00EF1435">
          <w:rPr>
            <w:rFonts w:ascii="Arial" w:eastAsia="Times New Roman" w:hAnsi="Arial" w:cs="Arial"/>
            <w:color w:val="1155CC"/>
            <w:u w:val="single"/>
          </w:rPr>
          <w:t>7</w:t>
        </w:r>
      </w:hyperlink>
      <w:r w:rsidRPr="00EF1435">
        <w:rPr>
          <w:rFonts w:ascii="Arial" w:eastAsia="Times New Roman" w:hAnsi="Arial" w:cs="Arial"/>
          <w:color w:val="000000"/>
        </w:rPr>
        <w:t xml:space="preserve"> As celiac disease is a life-long condition, this is a lifelong burden—no one outgrows it, and there are no treatments that can desensitize a person with celiac disease to gluten, unlike some allergies. Because the only existing treatment for celiac disease is the gluten-free diet, those with celiac disease need accurate and complete labeling information to make safe decisions at the grocery store. </w:t>
      </w:r>
    </w:p>
    <w:p w14:paraId="1133C485" w14:textId="77777777" w:rsidR="00770FE6" w:rsidRPr="00EF1435" w:rsidRDefault="00770FE6" w:rsidP="00770FE6">
      <w:pPr>
        <w:rPr>
          <w:rFonts w:ascii="Times New Roman" w:eastAsia="Times New Roman" w:hAnsi="Times New Roman" w:cs="Times New Roman"/>
        </w:rPr>
      </w:pPr>
      <w:r w:rsidRPr="00EF1435">
        <w:rPr>
          <w:rFonts w:ascii="Arial" w:eastAsia="Times New Roman" w:hAnsi="Arial" w:cs="Arial"/>
          <w:color w:val="000000"/>
        </w:rPr>
        <w:t xml:space="preserve">Finally, this draft guidance inexplicably goes directly against allergen recommendations made by the FAO/WHO Expert Committee regarding Risk </w:t>
      </w:r>
      <w:r>
        <w:rPr>
          <w:rFonts w:ascii="Arial" w:eastAsia="Times New Roman" w:hAnsi="Arial" w:cs="Arial"/>
          <w:color w:val="000000"/>
        </w:rPr>
        <w:t>A</w:t>
      </w:r>
      <w:r w:rsidRPr="00EF1435">
        <w:rPr>
          <w:rFonts w:ascii="Arial" w:eastAsia="Times New Roman" w:hAnsi="Arial" w:cs="Arial"/>
          <w:color w:val="000000"/>
        </w:rPr>
        <w:t xml:space="preserve">ssessment of Food Allergens for Codex (cited in the FDA draft guidance at Ref.45) on May 10, 2021. The committee “determined that only foods or ingredients that cause immune-mediated hypersensitivities such as IgE-mediated food allergies and coeliac disease should be included on the list of foods and ingredients…” The committee confirmed that, in their expert opinion, gluten-containing cereals should always be declared in ingredient lists—in other words, not just wheat, but </w:t>
      </w:r>
      <w:r>
        <w:rPr>
          <w:rFonts w:ascii="Arial" w:eastAsia="Times New Roman" w:hAnsi="Arial" w:cs="Arial"/>
          <w:color w:val="000000"/>
        </w:rPr>
        <w:t xml:space="preserve">also </w:t>
      </w:r>
      <w:r w:rsidRPr="00EF1435">
        <w:rPr>
          <w:rFonts w:ascii="Arial" w:eastAsia="Times New Roman" w:hAnsi="Arial" w:cs="Arial"/>
          <w:color w:val="000000"/>
        </w:rPr>
        <w:t>barley and rye</w:t>
      </w:r>
      <w:r>
        <w:rPr>
          <w:rFonts w:ascii="Arial" w:eastAsia="Times New Roman" w:hAnsi="Arial" w:cs="Arial"/>
          <w:color w:val="000000"/>
        </w:rPr>
        <w:t>.</w:t>
      </w:r>
      <w:r w:rsidRPr="00EF1435">
        <w:rPr>
          <w:rFonts w:ascii="Arial" w:eastAsia="Times New Roman" w:hAnsi="Arial" w:cs="Arial"/>
          <w:color w:val="000000"/>
        </w:rPr>
        <w:t> </w:t>
      </w:r>
    </w:p>
    <w:p w14:paraId="43E7071C" w14:textId="77777777" w:rsidR="00770FE6" w:rsidRPr="00EF1435" w:rsidRDefault="00770FE6" w:rsidP="00770FE6">
      <w:pPr>
        <w:rPr>
          <w:rFonts w:ascii="Times New Roman" w:eastAsia="Times New Roman" w:hAnsi="Times New Roman" w:cs="Times New Roman"/>
        </w:rPr>
      </w:pPr>
      <w:r w:rsidRPr="00EF1435">
        <w:rPr>
          <w:rFonts w:ascii="Arial" w:eastAsia="Times New Roman" w:hAnsi="Arial" w:cs="Arial"/>
          <w:color w:val="000000"/>
        </w:rPr>
        <w:t>This isn’t news to the international celiac disease community</w:t>
      </w:r>
      <w:r>
        <w:rPr>
          <w:rFonts w:ascii="Arial" w:eastAsia="Times New Roman" w:hAnsi="Arial" w:cs="Arial"/>
          <w:color w:val="000000"/>
        </w:rPr>
        <w:t>. M</w:t>
      </w:r>
      <w:r w:rsidRPr="00EF1435">
        <w:rPr>
          <w:rFonts w:ascii="Arial" w:eastAsia="Times New Roman" w:hAnsi="Arial" w:cs="Arial"/>
          <w:color w:val="000000"/>
        </w:rPr>
        <w:t>any countries in Europe and around the world require the labeling of gluten to protect those who have celiac disease. Americans with celiac disease who travel to Europe often remark on how much easier it is to find safe, gluten-free grocery products, as well as restaurants</w:t>
      </w:r>
      <w:r>
        <w:rPr>
          <w:rFonts w:ascii="Arial" w:eastAsia="Times New Roman" w:hAnsi="Arial" w:cs="Arial"/>
          <w:color w:val="000000"/>
        </w:rPr>
        <w:t xml:space="preserve"> providing safe, gluten-free meals.</w:t>
      </w:r>
      <w:r w:rsidRPr="00EF1435">
        <w:rPr>
          <w:rFonts w:ascii="Arial" w:eastAsia="Times New Roman" w:hAnsi="Arial" w:cs="Arial"/>
          <w:color w:val="000000"/>
        </w:rPr>
        <w:t xml:space="preserve"> Conversely, those with celiac disease who travel to the United States find that it’s more difficult to find safe gluten-free food.</w:t>
      </w:r>
    </w:p>
    <w:p w14:paraId="534D6491" w14:textId="19BD13B0" w:rsidR="00206440" w:rsidRDefault="00770FE6" w:rsidP="00770FE6">
      <w:pPr>
        <w:rPr>
          <w:rFonts w:ascii="Arial" w:eastAsia="Times New Roman" w:hAnsi="Arial" w:cs="Arial"/>
          <w:color w:val="000000"/>
        </w:rPr>
      </w:pPr>
      <w:r w:rsidRPr="00EF1435">
        <w:rPr>
          <w:rFonts w:ascii="Arial" w:eastAsia="Times New Roman" w:hAnsi="Arial" w:cs="Arial"/>
          <w:color w:val="000000"/>
        </w:rPr>
        <w:t xml:space="preserve">In short, it’s unclear why the FDA, a government organization whose purpose is to “protect the public health by [...] ensuring the safety of our nation's food supply,” would draft guidance that prohibits consumers, including those with celiac disease, from raising valid concerns about their policies and petition for worthwhile changes that would improve the safety of their food. This is in addition to resisting legislation supported by international experts, who recommend requiring gluten-containing </w:t>
      </w:r>
      <w:r>
        <w:rPr>
          <w:rFonts w:ascii="Arial" w:eastAsia="Times New Roman" w:hAnsi="Arial" w:cs="Arial"/>
          <w:color w:val="000000"/>
        </w:rPr>
        <w:t>grains</w:t>
      </w:r>
      <w:r w:rsidRPr="00EF1435">
        <w:rPr>
          <w:rFonts w:ascii="Arial" w:eastAsia="Times New Roman" w:hAnsi="Arial" w:cs="Arial"/>
          <w:color w:val="000000"/>
        </w:rPr>
        <w:t xml:space="preserve"> be labeled on food products.</w:t>
      </w:r>
    </w:p>
    <w:p w14:paraId="49198535" w14:textId="43093545" w:rsidR="00770FE6" w:rsidRPr="00EF1435" w:rsidRDefault="00770FE6" w:rsidP="00770FE6">
      <w:pPr>
        <w:rPr>
          <w:rFonts w:ascii="Times New Roman" w:eastAsia="Times New Roman" w:hAnsi="Times New Roman" w:cs="Times New Roman"/>
        </w:rPr>
      </w:pPr>
      <w:r w:rsidRPr="00EF1435">
        <w:rPr>
          <w:rFonts w:ascii="Arial" w:eastAsia="Times New Roman" w:hAnsi="Arial" w:cs="Arial"/>
          <w:color w:val="000000"/>
        </w:rPr>
        <w:t xml:space="preserve">As a patient advocacy group, </w:t>
      </w:r>
      <w:r>
        <w:rPr>
          <w:rFonts w:ascii="Arial" w:eastAsia="Times New Roman" w:hAnsi="Arial" w:cs="Arial"/>
          <w:color w:val="000000"/>
        </w:rPr>
        <w:t xml:space="preserve">Beyond Celiac </w:t>
      </w:r>
      <w:r w:rsidRPr="00EF1435">
        <w:rPr>
          <w:rFonts w:ascii="Arial" w:eastAsia="Times New Roman" w:hAnsi="Arial" w:cs="Arial"/>
          <w:color w:val="000000"/>
        </w:rPr>
        <w:t>strongly oppose</w:t>
      </w:r>
      <w:r>
        <w:rPr>
          <w:rFonts w:ascii="Arial" w:eastAsia="Times New Roman" w:hAnsi="Arial" w:cs="Arial"/>
          <w:color w:val="000000"/>
        </w:rPr>
        <w:t>s</w:t>
      </w:r>
      <w:r w:rsidRPr="00EF1435">
        <w:rPr>
          <w:rFonts w:ascii="Arial" w:eastAsia="Times New Roman" w:hAnsi="Arial" w:cs="Arial"/>
          <w:color w:val="000000"/>
        </w:rPr>
        <w:t xml:space="preserve"> issuance of draft guidance FDA-2021-N-0553-0005. As a government organization, the FDA must serve the people, and</w:t>
      </w:r>
      <w:r>
        <w:rPr>
          <w:rFonts w:ascii="Arial" w:eastAsia="Times New Roman" w:hAnsi="Arial" w:cs="Arial"/>
          <w:color w:val="000000"/>
        </w:rPr>
        <w:t>,</w:t>
      </w:r>
      <w:r w:rsidRPr="00EF1435">
        <w:rPr>
          <w:rFonts w:ascii="Arial" w:eastAsia="Times New Roman" w:hAnsi="Arial" w:cs="Arial"/>
          <w:color w:val="000000"/>
        </w:rPr>
        <w:t xml:space="preserve"> therefore</w:t>
      </w:r>
      <w:r>
        <w:rPr>
          <w:rFonts w:ascii="Arial" w:eastAsia="Times New Roman" w:hAnsi="Arial" w:cs="Arial"/>
          <w:color w:val="000000"/>
        </w:rPr>
        <w:t>,</w:t>
      </w:r>
      <w:r w:rsidRPr="00EF1435">
        <w:rPr>
          <w:rFonts w:ascii="Arial" w:eastAsia="Times New Roman" w:hAnsi="Arial" w:cs="Arial"/>
          <w:color w:val="000000"/>
        </w:rPr>
        <w:t xml:space="preserve"> be willing to receive petitions </w:t>
      </w:r>
      <w:r>
        <w:rPr>
          <w:rFonts w:ascii="Arial" w:eastAsia="Times New Roman" w:hAnsi="Arial" w:cs="Arial"/>
          <w:color w:val="000000"/>
        </w:rPr>
        <w:t xml:space="preserve">on policies from </w:t>
      </w:r>
      <w:r w:rsidRPr="00EF1435">
        <w:rPr>
          <w:rFonts w:ascii="Arial" w:eastAsia="Times New Roman" w:hAnsi="Arial" w:cs="Arial"/>
          <w:color w:val="000000"/>
        </w:rPr>
        <w:t>citizens and advocacy groups</w:t>
      </w:r>
      <w:r>
        <w:rPr>
          <w:rFonts w:ascii="Arial" w:eastAsia="Times New Roman" w:hAnsi="Arial" w:cs="Arial"/>
          <w:color w:val="000000"/>
        </w:rPr>
        <w:t xml:space="preserve">. </w:t>
      </w:r>
      <w:r w:rsidRPr="00EF1435">
        <w:rPr>
          <w:rFonts w:ascii="Arial" w:eastAsia="Times New Roman" w:hAnsi="Arial" w:cs="Arial"/>
          <w:color w:val="000000"/>
        </w:rPr>
        <w:t xml:space="preserve">This includes petitions on foods that may cause an adverse, immune-mediated reaction. In addition, </w:t>
      </w:r>
      <w:r w:rsidRPr="00EF1435">
        <w:rPr>
          <w:rFonts w:ascii="Arial" w:eastAsia="Times New Roman" w:hAnsi="Arial" w:cs="Arial"/>
          <w:color w:val="000000"/>
        </w:rPr>
        <w:lastRenderedPageBreak/>
        <w:t xml:space="preserve">the FDA should not limit foods under FALCPA to those that cause IgE-mediated, life-threatening responses. Doing so would prevent millions of people with celiac disease, allergies, and food sensitivities from accessing safe food. Refusing to even consider providing protections for those with severe reactions to food is </w:t>
      </w:r>
      <w:r>
        <w:rPr>
          <w:rFonts w:ascii="Arial" w:eastAsia="Times New Roman" w:hAnsi="Arial" w:cs="Arial"/>
          <w:color w:val="000000"/>
        </w:rPr>
        <w:t xml:space="preserve">the </w:t>
      </w:r>
      <w:r w:rsidRPr="00EF1435">
        <w:rPr>
          <w:rFonts w:ascii="Arial" w:eastAsia="Times New Roman" w:hAnsi="Arial" w:cs="Arial"/>
          <w:color w:val="000000"/>
        </w:rPr>
        <w:t xml:space="preserve">antithesis </w:t>
      </w:r>
      <w:r>
        <w:rPr>
          <w:rFonts w:ascii="Arial" w:eastAsia="Times New Roman" w:hAnsi="Arial" w:cs="Arial"/>
          <w:color w:val="000000"/>
        </w:rPr>
        <w:t xml:space="preserve">of </w:t>
      </w:r>
      <w:r w:rsidRPr="00EF1435">
        <w:rPr>
          <w:rFonts w:ascii="Arial" w:eastAsia="Times New Roman" w:hAnsi="Arial" w:cs="Arial"/>
          <w:color w:val="000000"/>
        </w:rPr>
        <w:t>the FDA’s mission to protect consumers. </w:t>
      </w:r>
    </w:p>
    <w:p w14:paraId="7E9E9A87" w14:textId="5E9B9ABB" w:rsidR="00770FE6" w:rsidRDefault="00770FE6" w:rsidP="00770FE6">
      <w:pPr>
        <w:rPr>
          <w:rFonts w:ascii="Arial" w:eastAsia="Times New Roman" w:hAnsi="Arial" w:cs="Arial"/>
          <w:color w:val="000000"/>
        </w:rPr>
      </w:pPr>
      <w:r>
        <w:rPr>
          <w:rFonts w:ascii="Arial" w:eastAsia="Times New Roman" w:hAnsi="Arial" w:cs="Arial"/>
          <w:color w:val="000000"/>
        </w:rPr>
        <w:t>Beyond Celiac</w:t>
      </w:r>
      <w:r w:rsidRPr="00EF1435">
        <w:rPr>
          <w:rFonts w:ascii="Arial" w:eastAsia="Times New Roman" w:hAnsi="Arial" w:cs="Arial"/>
          <w:color w:val="000000"/>
        </w:rPr>
        <w:t xml:space="preserve"> </w:t>
      </w:r>
      <w:r>
        <w:rPr>
          <w:rFonts w:ascii="Arial" w:eastAsia="Times New Roman" w:hAnsi="Arial" w:cs="Arial"/>
          <w:color w:val="000000"/>
        </w:rPr>
        <w:t xml:space="preserve">asks </w:t>
      </w:r>
      <w:r w:rsidRPr="00EF1435">
        <w:rPr>
          <w:rFonts w:ascii="Arial" w:eastAsia="Times New Roman" w:hAnsi="Arial" w:cs="Arial"/>
          <w:color w:val="000000"/>
        </w:rPr>
        <w:t xml:space="preserve">the FDA </w:t>
      </w:r>
      <w:r>
        <w:rPr>
          <w:rFonts w:ascii="Arial" w:eastAsia="Times New Roman" w:hAnsi="Arial" w:cs="Arial"/>
          <w:color w:val="000000"/>
        </w:rPr>
        <w:t xml:space="preserve">to </w:t>
      </w:r>
      <w:r w:rsidRPr="00EF1435">
        <w:rPr>
          <w:rFonts w:ascii="Arial" w:eastAsia="Times New Roman" w:hAnsi="Arial" w:cs="Arial"/>
          <w:color w:val="000000"/>
        </w:rPr>
        <w:t>consider our concerns, along with the concerns of community members and fellow advocacy groups, and work to provide safe products for the American people. </w:t>
      </w:r>
    </w:p>
    <w:p w14:paraId="128BE9AE" w14:textId="50311354" w:rsidR="006C22A5" w:rsidRDefault="006C22A5" w:rsidP="00770FE6">
      <w:pPr>
        <w:rPr>
          <w:rFonts w:ascii="Arial" w:eastAsia="Times New Roman" w:hAnsi="Arial" w:cs="Arial"/>
          <w:color w:val="000000"/>
        </w:rPr>
      </w:pPr>
      <w:r>
        <w:rPr>
          <w:rFonts w:ascii="Arial" w:eastAsia="Times New Roman" w:hAnsi="Arial" w:cs="Arial"/>
          <w:color w:val="000000"/>
        </w:rPr>
        <w:t xml:space="preserve">Thank you. </w:t>
      </w:r>
    </w:p>
    <w:p w14:paraId="49DC4165" w14:textId="77777777" w:rsidR="00770FE6" w:rsidRPr="00EF1435" w:rsidRDefault="00770FE6" w:rsidP="00770FE6">
      <w:pPr>
        <w:rPr>
          <w:rFonts w:ascii="Times New Roman" w:eastAsia="Times New Roman" w:hAnsi="Times New Roman" w:cs="Times New Roman"/>
        </w:rPr>
      </w:pPr>
      <w:r w:rsidRPr="00EF1435">
        <w:rPr>
          <w:rFonts w:ascii="Arial" w:eastAsia="Times New Roman" w:hAnsi="Arial" w:cs="Arial"/>
          <w:color w:val="000000"/>
        </w:rPr>
        <w:t>Sincerely,</w:t>
      </w:r>
    </w:p>
    <w:p w14:paraId="21C5AE23" w14:textId="263D5A80" w:rsidR="00770FE6" w:rsidRPr="00EF1435" w:rsidRDefault="0039520E" w:rsidP="00770FE6">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AC5B1A6" wp14:editId="4B0D0A67">
            <wp:extent cx="938784" cy="527304"/>
            <wp:effectExtent l="0" t="0" r="0" b="635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17"/>
                    <a:stretch>
                      <a:fillRect/>
                    </a:stretch>
                  </pic:blipFill>
                  <pic:spPr>
                    <a:xfrm>
                      <a:off x="0" y="0"/>
                      <a:ext cx="938784" cy="527304"/>
                    </a:xfrm>
                    <a:prstGeom prst="rect">
                      <a:avLst/>
                    </a:prstGeom>
                  </pic:spPr>
                </pic:pic>
              </a:graphicData>
            </a:graphic>
          </wp:inline>
        </w:drawing>
      </w:r>
    </w:p>
    <w:p w14:paraId="37B64484" w14:textId="77777777" w:rsidR="00770FE6" w:rsidRPr="00EF1435" w:rsidRDefault="00770FE6" w:rsidP="00770FE6">
      <w:pPr>
        <w:rPr>
          <w:rFonts w:ascii="Times New Roman" w:eastAsia="Times New Roman" w:hAnsi="Times New Roman" w:cs="Times New Roman"/>
        </w:rPr>
      </w:pPr>
      <w:r w:rsidRPr="00EF1435">
        <w:rPr>
          <w:rFonts w:ascii="Arial" w:eastAsia="Times New Roman" w:hAnsi="Arial" w:cs="Arial"/>
          <w:color w:val="000000"/>
        </w:rPr>
        <w:t>Alice Bast</w:t>
      </w:r>
      <w:r>
        <w:rPr>
          <w:rFonts w:ascii="Arial" w:eastAsia="Times New Roman" w:hAnsi="Arial" w:cs="Arial"/>
          <w:color w:val="000000"/>
        </w:rPr>
        <w:br/>
      </w:r>
      <w:r w:rsidRPr="00EF1435">
        <w:rPr>
          <w:rFonts w:ascii="Arial" w:eastAsia="Times New Roman" w:hAnsi="Arial" w:cs="Arial"/>
          <w:color w:val="000000"/>
        </w:rPr>
        <w:t>CEO, Beyond Celiac</w:t>
      </w:r>
    </w:p>
    <w:p w14:paraId="666F4096" w14:textId="05A917F0" w:rsidR="00770FE6" w:rsidRPr="00206440" w:rsidRDefault="00206440" w:rsidP="00770FE6">
      <w:pPr>
        <w:spacing w:before="320" w:after="80"/>
        <w:outlineLvl w:val="2"/>
        <w:rPr>
          <w:rFonts w:ascii="Times New Roman" w:eastAsia="Times New Roman" w:hAnsi="Times New Roman" w:cs="Times New Roman"/>
          <w:b/>
          <w:bCs/>
        </w:rPr>
      </w:pPr>
      <w:r>
        <w:rPr>
          <w:rFonts w:ascii="Arial" w:eastAsia="Times New Roman" w:hAnsi="Arial" w:cs="Arial"/>
          <w:color w:val="434343"/>
        </w:rPr>
        <w:t>C</w:t>
      </w:r>
      <w:r w:rsidR="00770FE6" w:rsidRPr="00206440">
        <w:rPr>
          <w:rFonts w:ascii="Arial" w:eastAsia="Times New Roman" w:hAnsi="Arial" w:cs="Arial"/>
          <w:color w:val="434343"/>
        </w:rPr>
        <w:t>itations </w:t>
      </w:r>
    </w:p>
    <w:p w14:paraId="550DA304" w14:textId="77777777" w:rsidR="00770FE6" w:rsidRPr="00EF1435" w:rsidRDefault="00770FE6" w:rsidP="00770FE6">
      <w:pPr>
        <w:numPr>
          <w:ilvl w:val="0"/>
          <w:numId w:val="1"/>
        </w:numPr>
        <w:spacing w:after="0" w:line="240" w:lineRule="auto"/>
        <w:textAlignment w:val="baseline"/>
        <w:rPr>
          <w:rFonts w:ascii="Arial" w:eastAsia="Times New Roman" w:hAnsi="Arial" w:cs="Arial"/>
          <w:color w:val="000000"/>
        </w:rPr>
      </w:pPr>
      <w:proofErr w:type="spellStart"/>
      <w:r w:rsidRPr="00EF1435">
        <w:rPr>
          <w:rFonts w:ascii="Arial" w:eastAsia="Times New Roman" w:hAnsi="Arial" w:cs="Arial"/>
          <w:color w:val="000000"/>
        </w:rPr>
        <w:t>Stamnaes</w:t>
      </w:r>
      <w:proofErr w:type="spellEnd"/>
      <w:r w:rsidRPr="00EF1435">
        <w:rPr>
          <w:rFonts w:ascii="Arial" w:eastAsia="Times New Roman" w:hAnsi="Arial" w:cs="Arial"/>
          <w:color w:val="000000"/>
        </w:rPr>
        <w:t xml:space="preserve">, J., Stray, D., </w:t>
      </w:r>
      <w:proofErr w:type="spellStart"/>
      <w:r w:rsidRPr="00EF1435">
        <w:rPr>
          <w:rFonts w:ascii="Arial" w:eastAsia="Times New Roman" w:hAnsi="Arial" w:cs="Arial"/>
          <w:color w:val="000000"/>
        </w:rPr>
        <w:t>Stensland</w:t>
      </w:r>
      <w:proofErr w:type="spellEnd"/>
      <w:r w:rsidRPr="00EF1435">
        <w:rPr>
          <w:rFonts w:ascii="Arial" w:eastAsia="Times New Roman" w:hAnsi="Arial" w:cs="Arial"/>
          <w:color w:val="000000"/>
        </w:rPr>
        <w:t xml:space="preserve">, M., Sarna, V.K., Nyman, T.A., Lundin, K.E.A., &amp; </w:t>
      </w:r>
      <w:proofErr w:type="spellStart"/>
      <w:r w:rsidRPr="00EF1435">
        <w:rPr>
          <w:rFonts w:ascii="Arial" w:eastAsia="Times New Roman" w:hAnsi="Arial" w:cs="Arial"/>
          <w:color w:val="000000"/>
        </w:rPr>
        <w:t>Sollid</w:t>
      </w:r>
      <w:proofErr w:type="spellEnd"/>
      <w:r w:rsidRPr="00EF1435">
        <w:rPr>
          <w:rFonts w:ascii="Arial" w:eastAsia="Times New Roman" w:hAnsi="Arial" w:cs="Arial"/>
          <w:color w:val="000000"/>
        </w:rPr>
        <w:t xml:space="preserve">, L.M. (2021). In well-treated celiac </w:t>
      </w:r>
      <w:proofErr w:type="gramStart"/>
      <w:r w:rsidRPr="00EF1435">
        <w:rPr>
          <w:rFonts w:ascii="Arial" w:eastAsia="Times New Roman" w:hAnsi="Arial" w:cs="Arial"/>
          <w:color w:val="000000"/>
        </w:rPr>
        <w:t>patients</w:t>
      </w:r>
      <w:proofErr w:type="gramEnd"/>
      <w:r w:rsidRPr="00EF1435">
        <w:rPr>
          <w:rFonts w:ascii="Arial" w:eastAsia="Times New Roman" w:hAnsi="Arial" w:cs="Arial"/>
          <w:color w:val="000000"/>
        </w:rPr>
        <w:t xml:space="preserve"> low-level mucosal inflammation predicts response to 14-day gluten challenge. </w:t>
      </w:r>
      <w:r w:rsidRPr="00EF1435">
        <w:rPr>
          <w:rFonts w:ascii="Arial" w:eastAsia="Times New Roman" w:hAnsi="Arial" w:cs="Arial"/>
          <w:i/>
          <w:iCs/>
          <w:color w:val="000000"/>
        </w:rPr>
        <w:t>Adv Sci (</w:t>
      </w:r>
      <w:proofErr w:type="spellStart"/>
      <w:r w:rsidRPr="00EF1435">
        <w:rPr>
          <w:rFonts w:ascii="Arial" w:eastAsia="Times New Roman" w:hAnsi="Arial" w:cs="Arial"/>
          <w:i/>
          <w:iCs/>
          <w:color w:val="000000"/>
        </w:rPr>
        <w:t>Weinh</w:t>
      </w:r>
      <w:proofErr w:type="spellEnd"/>
      <w:r w:rsidRPr="00EF1435">
        <w:rPr>
          <w:rFonts w:ascii="Arial" w:eastAsia="Times New Roman" w:hAnsi="Arial" w:cs="Arial"/>
          <w:i/>
          <w:iCs/>
          <w:color w:val="000000"/>
        </w:rPr>
        <w:t>), 8</w:t>
      </w:r>
      <w:r w:rsidRPr="00EF1435">
        <w:rPr>
          <w:rFonts w:ascii="Arial" w:eastAsia="Times New Roman" w:hAnsi="Arial" w:cs="Arial"/>
          <w:color w:val="000000"/>
        </w:rPr>
        <w:t>(4). doi:10.1002/advs.202003526</w:t>
      </w:r>
    </w:p>
    <w:p w14:paraId="0733B935" w14:textId="77777777" w:rsidR="00770FE6" w:rsidRPr="00EF1435" w:rsidRDefault="00770FE6" w:rsidP="00770FE6">
      <w:pPr>
        <w:numPr>
          <w:ilvl w:val="0"/>
          <w:numId w:val="1"/>
        </w:numPr>
        <w:spacing w:after="0" w:line="240" w:lineRule="auto"/>
        <w:textAlignment w:val="baseline"/>
        <w:rPr>
          <w:rFonts w:ascii="Arial" w:eastAsia="Times New Roman" w:hAnsi="Arial" w:cs="Arial"/>
          <w:color w:val="000000"/>
        </w:rPr>
      </w:pPr>
      <w:r w:rsidRPr="00EF1435">
        <w:rPr>
          <w:rFonts w:ascii="Arial" w:eastAsia="Times New Roman" w:hAnsi="Arial" w:cs="Arial"/>
          <w:color w:val="000000"/>
        </w:rPr>
        <w:t xml:space="preserve">Leonard, M.M., Weir, D.C., DeGroote, M., Mitchell, P., Singh, P., Silvester, J., </w:t>
      </w:r>
      <w:proofErr w:type="spellStart"/>
      <w:r w:rsidRPr="00EF1435">
        <w:rPr>
          <w:rFonts w:ascii="Arial" w:eastAsia="Times New Roman" w:hAnsi="Arial" w:cs="Arial"/>
          <w:color w:val="000000"/>
        </w:rPr>
        <w:t>Leichtner</w:t>
      </w:r>
      <w:proofErr w:type="spellEnd"/>
      <w:r w:rsidRPr="00EF1435">
        <w:rPr>
          <w:rFonts w:ascii="Arial" w:eastAsia="Times New Roman" w:hAnsi="Arial" w:cs="Arial"/>
          <w:color w:val="000000"/>
        </w:rPr>
        <w:t xml:space="preserve">, A., &amp; Fasano, A. (2017). Value of IgA </w:t>
      </w:r>
      <w:proofErr w:type="spellStart"/>
      <w:r w:rsidRPr="00EF1435">
        <w:rPr>
          <w:rFonts w:ascii="Arial" w:eastAsia="Times New Roman" w:hAnsi="Arial" w:cs="Arial"/>
          <w:color w:val="000000"/>
        </w:rPr>
        <w:t>tTG</w:t>
      </w:r>
      <w:proofErr w:type="spellEnd"/>
      <w:r w:rsidRPr="00EF1435">
        <w:rPr>
          <w:rFonts w:ascii="Arial" w:eastAsia="Times New Roman" w:hAnsi="Arial" w:cs="Arial"/>
          <w:color w:val="000000"/>
        </w:rPr>
        <w:t xml:space="preserve"> in predicting mucosal recovery in children with celiac disease on a gluten-free diet. </w:t>
      </w:r>
      <w:r w:rsidRPr="00EF1435">
        <w:rPr>
          <w:rFonts w:ascii="Arial" w:eastAsia="Times New Roman" w:hAnsi="Arial" w:cs="Arial"/>
          <w:i/>
          <w:iCs/>
          <w:color w:val="000000"/>
        </w:rPr>
        <w:t>Journal of Pediatric Gastroenterology and Nutrition. 64</w:t>
      </w:r>
      <w:r w:rsidRPr="00EF1435">
        <w:rPr>
          <w:rFonts w:ascii="Arial" w:eastAsia="Times New Roman" w:hAnsi="Arial" w:cs="Arial"/>
          <w:color w:val="000000"/>
        </w:rPr>
        <w:t>(2), 286-291. doi:10.1097/MPG.0000000000001460</w:t>
      </w:r>
    </w:p>
    <w:p w14:paraId="6654D72E" w14:textId="77777777" w:rsidR="00770FE6" w:rsidRPr="00EF1435" w:rsidRDefault="00770FE6" w:rsidP="00770FE6">
      <w:pPr>
        <w:numPr>
          <w:ilvl w:val="0"/>
          <w:numId w:val="1"/>
        </w:numPr>
        <w:spacing w:after="0" w:line="240" w:lineRule="auto"/>
        <w:textAlignment w:val="baseline"/>
        <w:rPr>
          <w:rFonts w:ascii="Arial" w:eastAsia="Times New Roman" w:hAnsi="Arial" w:cs="Arial"/>
          <w:color w:val="000000"/>
        </w:rPr>
      </w:pPr>
      <w:r w:rsidRPr="00EF1435">
        <w:rPr>
          <w:rFonts w:ascii="Arial" w:eastAsia="Times New Roman" w:hAnsi="Arial" w:cs="Arial"/>
          <w:color w:val="000000"/>
        </w:rPr>
        <w:t xml:space="preserve">Jericho, H., </w:t>
      </w:r>
      <w:proofErr w:type="spellStart"/>
      <w:r w:rsidRPr="00EF1435">
        <w:rPr>
          <w:rFonts w:ascii="Arial" w:eastAsia="Times New Roman" w:hAnsi="Arial" w:cs="Arial"/>
          <w:color w:val="000000"/>
        </w:rPr>
        <w:t>Sansotta</w:t>
      </w:r>
      <w:proofErr w:type="spellEnd"/>
      <w:r w:rsidRPr="00EF1435">
        <w:rPr>
          <w:rFonts w:ascii="Arial" w:eastAsia="Times New Roman" w:hAnsi="Arial" w:cs="Arial"/>
          <w:color w:val="000000"/>
        </w:rPr>
        <w:t xml:space="preserve">, N., &amp; </w:t>
      </w:r>
      <w:proofErr w:type="spellStart"/>
      <w:r w:rsidRPr="00EF1435">
        <w:rPr>
          <w:rFonts w:ascii="Arial" w:eastAsia="Times New Roman" w:hAnsi="Arial" w:cs="Arial"/>
          <w:color w:val="000000"/>
        </w:rPr>
        <w:t>Guandalini</w:t>
      </w:r>
      <w:proofErr w:type="spellEnd"/>
      <w:r w:rsidRPr="00EF1435">
        <w:rPr>
          <w:rFonts w:ascii="Arial" w:eastAsia="Times New Roman" w:hAnsi="Arial" w:cs="Arial"/>
          <w:color w:val="000000"/>
        </w:rPr>
        <w:t xml:space="preserve">, S. (2017). Extraintestinal manifestations of celiac disease: Effectiveness of the gluten-free diet. </w:t>
      </w:r>
      <w:r w:rsidRPr="00EF1435">
        <w:rPr>
          <w:rFonts w:ascii="Arial" w:eastAsia="Times New Roman" w:hAnsi="Arial" w:cs="Arial"/>
          <w:i/>
          <w:iCs/>
          <w:color w:val="000000"/>
        </w:rPr>
        <w:t xml:space="preserve">J </w:t>
      </w:r>
      <w:proofErr w:type="spellStart"/>
      <w:r w:rsidRPr="00EF1435">
        <w:rPr>
          <w:rFonts w:ascii="Arial" w:eastAsia="Times New Roman" w:hAnsi="Arial" w:cs="Arial"/>
          <w:i/>
          <w:iCs/>
          <w:color w:val="000000"/>
        </w:rPr>
        <w:t>Pediatr</w:t>
      </w:r>
      <w:proofErr w:type="spellEnd"/>
      <w:r w:rsidRPr="00EF1435">
        <w:rPr>
          <w:rFonts w:ascii="Arial" w:eastAsia="Times New Roman" w:hAnsi="Arial" w:cs="Arial"/>
          <w:i/>
          <w:iCs/>
          <w:color w:val="000000"/>
        </w:rPr>
        <w:t xml:space="preserve"> Gastroenterol </w:t>
      </w:r>
      <w:proofErr w:type="spellStart"/>
      <w:r w:rsidRPr="00EF1435">
        <w:rPr>
          <w:rFonts w:ascii="Arial" w:eastAsia="Times New Roman" w:hAnsi="Arial" w:cs="Arial"/>
          <w:i/>
          <w:iCs/>
          <w:color w:val="000000"/>
        </w:rPr>
        <w:t>Nutr</w:t>
      </w:r>
      <w:proofErr w:type="spellEnd"/>
      <w:r w:rsidRPr="00EF1435">
        <w:rPr>
          <w:rFonts w:ascii="Arial" w:eastAsia="Times New Roman" w:hAnsi="Arial" w:cs="Arial"/>
          <w:i/>
          <w:iCs/>
          <w:color w:val="000000"/>
        </w:rPr>
        <w:t>, 65</w:t>
      </w:r>
      <w:r w:rsidRPr="00EF1435">
        <w:rPr>
          <w:rFonts w:ascii="Arial" w:eastAsia="Times New Roman" w:hAnsi="Arial" w:cs="Arial"/>
          <w:color w:val="000000"/>
        </w:rPr>
        <w:t>(1), 75-79. doi:10.1097/MPG.0000000000001420</w:t>
      </w:r>
    </w:p>
    <w:p w14:paraId="5FCFF100" w14:textId="77777777" w:rsidR="00770FE6" w:rsidRPr="00EF1435" w:rsidRDefault="00770FE6" w:rsidP="00770FE6">
      <w:pPr>
        <w:numPr>
          <w:ilvl w:val="0"/>
          <w:numId w:val="1"/>
        </w:numPr>
        <w:spacing w:after="0" w:line="240" w:lineRule="auto"/>
        <w:textAlignment w:val="baseline"/>
        <w:rPr>
          <w:rFonts w:ascii="Arial" w:eastAsia="Times New Roman" w:hAnsi="Arial" w:cs="Arial"/>
          <w:color w:val="000000"/>
        </w:rPr>
      </w:pPr>
      <w:r w:rsidRPr="00EF1435">
        <w:rPr>
          <w:rFonts w:ascii="Arial" w:eastAsia="Times New Roman" w:hAnsi="Arial" w:cs="Arial"/>
          <w:color w:val="000000"/>
        </w:rPr>
        <w:t xml:space="preserve">Coburn, S., Rose, M., </w:t>
      </w:r>
      <w:proofErr w:type="spellStart"/>
      <w:r w:rsidRPr="00EF1435">
        <w:rPr>
          <w:rFonts w:ascii="Arial" w:eastAsia="Times New Roman" w:hAnsi="Arial" w:cs="Arial"/>
          <w:color w:val="000000"/>
        </w:rPr>
        <w:t>Sady</w:t>
      </w:r>
      <w:proofErr w:type="spellEnd"/>
      <w:r w:rsidRPr="00EF1435">
        <w:rPr>
          <w:rFonts w:ascii="Arial" w:eastAsia="Times New Roman" w:hAnsi="Arial" w:cs="Arial"/>
          <w:color w:val="000000"/>
        </w:rPr>
        <w:t xml:space="preserve">, M., Parker, M., </w:t>
      </w:r>
      <w:proofErr w:type="spellStart"/>
      <w:r w:rsidRPr="00EF1435">
        <w:rPr>
          <w:rFonts w:ascii="Arial" w:eastAsia="Times New Roman" w:hAnsi="Arial" w:cs="Arial"/>
          <w:color w:val="000000"/>
        </w:rPr>
        <w:t>Suslovic</w:t>
      </w:r>
      <w:proofErr w:type="spellEnd"/>
      <w:r w:rsidRPr="00EF1435">
        <w:rPr>
          <w:rFonts w:ascii="Arial" w:eastAsia="Times New Roman" w:hAnsi="Arial" w:cs="Arial"/>
          <w:color w:val="000000"/>
        </w:rPr>
        <w:t xml:space="preserve">, W., </w:t>
      </w:r>
      <w:proofErr w:type="spellStart"/>
      <w:r w:rsidRPr="00EF1435">
        <w:rPr>
          <w:rFonts w:ascii="Arial" w:eastAsia="Times New Roman" w:hAnsi="Arial" w:cs="Arial"/>
          <w:color w:val="000000"/>
        </w:rPr>
        <w:t>Weisbrod</w:t>
      </w:r>
      <w:proofErr w:type="spellEnd"/>
      <w:r w:rsidRPr="00EF1435">
        <w:rPr>
          <w:rFonts w:ascii="Arial" w:eastAsia="Times New Roman" w:hAnsi="Arial" w:cs="Arial"/>
          <w:color w:val="000000"/>
        </w:rPr>
        <w:t xml:space="preserve">, V., Kerzner, B., Streisand, R., &amp; Kahn, I. (2020). Mental health disorders and psychosocial distress in pediatric celiac disease. </w:t>
      </w:r>
      <w:r w:rsidRPr="00EF1435">
        <w:rPr>
          <w:rFonts w:ascii="Arial" w:eastAsia="Times New Roman" w:hAnsi="Arial" w:cs="Arial"/>
          <w:i/>
          <w:iCs/>
          <w:color w:val="000000"/>
        </w:rPr>
        <w:t xml:space="preserve">J </w:t>
      </w:r>
      <w:proofErr w:type="spellStart"/>
      <w:r w:rsidRPr="00EF1435">
        <w:rPr>
          <w:rFonts w:ascii="Arial" w:eastAsia="Times New Roman" w:hAnsi="Arial" w:cs="Arial"/>
          <w:i/>
          <w:iCs/>
          <w:color w:val="000000"/>
        </w:rPr>
        <w:t>Pediatr</w:t>
      </w:r>
      <w:proofErr w:type="spellEnd"/>
      <w:r w:rsidRPr="00EF1435">
        <w:rPr>
          <w:rFonts w:ascii="Arial" w:eastAsia="Times New Roman" w:hAnsi="Arial" w:cs="Arial"/>
          <w:i/>
          <w:iCs/>
          <w:color w:val="000000"/>
        </w:rPr>
        <w:t xml:space="preserve"> Gastroenterol </w:t>
      </w:r>
      <w:proofErr w:type="spellStart"/>
      <w:r w:rsidRPr="00EF1435">
        <w:rPr>
          <w:rFonts w:ascii="Arial" w:eastAsia="Times New Roman" w:hAnsi="Arial" w:cs="Arial"/>
          <w:i/>
          <w:iCs/>
          <w:color w:val="000000"/>
        </w:rPr>
        <w:t>Nutr</w:t>
      </w:r>
      <w:proofErr w:type="spellEnd"/>
      <w:r w:rsidRPr="00EF1435">
        <w:rPr>
          <w:rFonts w:ascii="Arial" w:eastAsia="Times New Roman" w:hAnsi="Arial" w:cs="Arial"/>
          <w:i/>
          <w:iCs/>
          <w:color w:val="000000"/>
        </w:rPr>
        <w:t>, 70</w:t>
      </w:r>
      <w:r w:rsidRPr="00EF1435">
        <w:rPr>
          <w:rFonts w:ascii="Arial" w:eastAsia="Times New Roman" w:hAnsi="Arial" w:cs="Arial"/>
          <w:color w:val="000000"/>
        </w:rPr>
        <w:t>(5), 608-614. doi:10.1097/MPG.0000000000002605</w:t>
      </w:r>
    </w:p>
    <w:p w14:paraId="475D7F6A" w14:textId="77777777" w:rsidR="00770FE6" w:rsidRPr="00EF1435" w:rsidRDefault="00770FE6" w:rsidP="00770FE6">
      <w:pPr>
        <w:numPr>
          <w:ilvl w:val="0"/>
          <w:numId w:val="1"/>
        </w:numPr>
        <w:spacing w:after="0" w:line="240" w:lineRule="auto"/>
        <w:textAlignment w:val="baseline"/>
        <w:rPr>
          <w:rFonts w:ascii="Arial" w:eastAsia="Times New Roman" w:hAnsi="Arial" w:cs="Arial"/>
          <w:color w:val="000000"/>
        </w:rPr>
      </w:pPr>
      <w:r w:rsidRPr="00EF1435">
        <w:rPr>
          <w:rFonts w:ascii="Arial" w:eastAsia="Times New Roman" w:hAnsi="Arial" w:cs="Arial"/>
          <w:color w:val="000000"/>
        </w:rPr>
        <w:t xml:space="preserve">Wolf, R.L., Lebwohl, B., Lee, A.R., </w:t>
      </w:r>
      <w:proofErr w:type="spellStart"/>
      <w:r w:rsidRPr="00EF1435">
        <w:rPr>
          <w:rFonts w:ascii="Arial" w:eastAsia="Times New Roman" w:hAnsi="Arial" w:cs="Arial"/>
          <w:color w:val="000000"/>
        </w:rPr>
        <w:t>Zybert</w:t>
      </w:r>
      <w:proofErr w:type="spellEnd"/>
      <w:r w:rsidRPr="00EF1435">
        <w:rPr>
          <w:rFonts w:ascii="Arial" w:eastAsia="Times New Roman" w:hAnsi="Arial" w:cs="Arial"/>
          <w:color w:val="000000"/>
        </w:rPr>
        <w:t xml:space="preserve">, P., Reilly, N.R., Cadenhead, J., </w:t>
      </w:r>
      <w:proofErr w:type="spellStart"/>
      <w:r w:rsidRPr="00EF1435">
        <w:rPr>
          <w:rFonts w:ascii="Arial" w:eastAsia="Times New Roman" w:hAnsi="Arial" w:cs="Arial"/>
          <w:color w:val="000000"/>
        </w:rPr>
        <w:t>Amengual</w:t>
      </w:r>
      <w:proofErr w:type="spellEnd"/>
      <w:r w:rsidRPr="00EF1435">
        <w:rPr>
          <w:rFonts w:ascii="Arial" w:eastAsia="Times New Roman" w:hAnsi="Arial" w:cs="Arial"/>
          <w:color w:val="000000"/>
        </w:rPr>
        <w:t xml:space="preserve">, C., &amp; Green, P.H.R. (2018). Hypervigilance to a gluten-free diet and decreased quality of life in teenagers and adults with celiac disease. </w:t>
      </w:r>
      <w:r w:rsidRPr="00EF1435">
        <w:rPr>
          <w:rFonts w:ascii="Arial" w:eastAsia="Times New Roman" w:hAnsi="Arial" w:cs="Arial"/>
          <w:i/>
          <w:iCs/>
          <w:color w:val="000000"/>
        </w:rPr>
        <w:t>Dig Dis Sci, 63</w:t>
      </w:r>
      <w:r w:rsidRPr="00EF1435">
        <w:rPr>
          <w:rFonts w:ascii="Arial" w:eastAsia="Times New Roman" w:hAnsi="Arial" w:cs="Arial"/>
          <w:color w:val="000000"/>
        </w:rPr>
        <w:t>(6), 1438-1448. doi:10.1007/s10620-018-4936-4 </w:t>
      </w:r>
    </w:p>
    <w:p w14:paraId="68EDED5B" w14:textId="77777777" w:rsidR="00770FE6" w:rsidRPr="00EF1435" w:rsidRDefault="00770FE6" w:rsidP="00770FE6">
      <w:pPr>
        <w:numPr>
          <w:ilvl w:val="0"/>
          <w:numId w:val="1"/>
        </w:numPr>
        <w:spacing w:after="0" w:line="240" w:lineRule="auto"/>
        <w:textAlignment w:val="baseline"/>
        <w:rPr>
          <w:rFonts w:ascii="Arial" w:eastAsia="Times New Roman" w:hAnsi="Arial" w:cs="Arial"/>
          <w:color w:val="000000"/>
        </w:rPr>
      </w:pPr>
      <w:proofErr w:type="spellStart"/>
      <w:r w:rsidRPr="00EF1435">
        <w:rPr>
          <w:rFonts w:ascii="Arial" w:eastAsia="Times New Roman" w:hAnsi="Arial" w:cs="Arial"/>
          <w:color w:val="000000"/>
        </w:rPr>
        <w:t>Croall</w:t>
      </w:r>
      <w:proofErr w:type="spellEnd"/>
      <w:r w:rsidRPr="00EF1435">
        <w:rPr>
          <w:rFonts w:ascii="Arial" w:eastAsia="Times New Roman" w:hAnsi="Arial" w:cs="Arial"/>
          <w:color w:val="000000"/>
        </w:rPr>
        <w:t xml:space="preserve">, I., Sanders, D., </w:t>
      </w:r>
      <w:proofErr w:type="spellStart"/>
      <w:r w:rsidRPr="00EF1435">
        <w:rPr>
          <w:rFonts w:ascii="Arial" w:eastAsia="Times New Roman" w:hAnsi="Arial" w:cs="Arial"/>
          <w:color w:val="000000"/>
        </w:rPr>
        <w:t>Hadjivassiliou</w:t>
      </w:r>
      <w:proofErr w:type="spellEnd"/>
      <w:r w:rsidRPr="00EF1435">
        <w:rPr>
          <w:rFonts w:ascii="Arial" w:eastAsia="Times New Roman" w:hAnsi="Arial" w:cs="Arial"/>
          <w:color w:val="000000"/>
        </w:rPr>
        <w:t xml:space="preserve">, M., &amp; Hoggard, N. (2020). Cognitive deficit and white matter changes in persons with celiac disease: A population-based study. </w:t>
      </w:r>
      <w:r w:rsidRPr="00EF1435">
        <w:rPr>
          <w:rFonts w:ascii="Arial" w:eastAsia="Times New Roman" w:hAnsi="Arial" w:cs="Arial"/>
          <w:i/>
          <w:iCs/>
          <w:color w:val="000000"/>
        </w:rPr>
        <w:t>Gastroenterology, 158</w:t>
      </w:r>
      <w:r w:rsidRPr="00EF1435">
        <w:rPr>
          <w:rFonts w:ascii="Arial" w:eastAsia="Times New Roman" w:hAnsi="Arial" w:cs="Arial"/>
          <w:color w:val="000000"/>
        </w:rPr>
        <w:t xml:space="preserve">(8), 2112-2122. </w:t>
      </w:r>
      <w:proofErr w:type="spellStart"/>
      <w:proofErr w:type="gramStart"/>
      <w:r w:rsidRPr="00EF1435">
        <w:rPr>
          <w:rFonts w:ascii="Arial" w:eastAsia="Times New Roman" w:hAnsi="Arial" w:cs="Arial"/>
          <w:color w:val="000000"/>
        </w:rPr>
        <w:t>doi:https</w:t>
      </w:r>
      <w:proofErr w:type="spellEnd"/>
      <w:r w:rsidRPr="00EF1435">
        <w:rPr>
          <w:rFonts w:ascii="Arial" w:eastAsia="Times New Roman" w:hAnsi="Arial" w:cs="Arial"/>
          <w:color w:val="000000"/>
        </w:rPr>
        <w:t>://doi.org/10.1053/j.gastro.2020.02.028</w:t>
      </w:r>
      <w:proofErr w:type="gramEnd"/>
    </w:p>
    <w:p w14:paraId="0AB7B2D3" w14:textId="77777777" w:rsidR="00770FE6" w:rsidRPr="00EF1435" w:rsidRDefault="00770FE6" w:rsidP="00770FE6">
      <w:pPr>
        <w:numPr>
          <w:ilvl w:val="0"/>
          <w:numId w:val="1"/>
        </w:numPr>
        <w:spacing w:after="0" w:line="240" w:lineRule="auto"/>
        <w:textAlignment w:val="baseline"/>
        <w:rPr>
          <w:rFonts w:ascii="Arial" w:eastAsia="Times New Roman" w:hAnsi="Arial" w:cs="Arial"/>
          <w:color w:val="000000"/>
        </w:rPr>
      </w:pPr>
      <w:r w:rsidRPr="00EF1435">
        <w:rPr>
          <w:rFonts w:ascii="Arial" w:eastAsia="Times New Roman" w:hAnsi="Arial" w:cs="Arial"/>
          <w:color w:val="000000"/>
        </w:rPr>
        <w:t xml:space="preserve">Shah, S., Akbari, M., Vanga, R., Kelly, C.P., Hansen, J., </w:t>
      </w:r>
      <w:proofErr w:type="spellStart"/>
      <w:r w:rsidRPr="00EF1435">
        <w:rPr>
          <w:rFonts w:ascii="Arial" w:eastAsia="Times New Roman" w:hAnsi="Arial" w:cs="Arial"/>
          <w:color w:val="000000"/>
        </w:rPr>
        <w:t>Theethira</w:t>
      </w:r>
      <w:proofErr w:type="spellEnd"/>
      <w:r w:rsidRPr="00EF1435">
        <w:rPr>
          <w:rFonts w:ascii="Arial" w:eastAsia="Times New Roman" w:hAnsi="Arial" w:cs="Arial"/>
          <w:color w:val="000000"/>
        </w:rPr>
        <w:t xml:space="preserve">, T., Tariq, S., Dennis, M., &amp; Leffler, D.A. (2014). Patient perception of treatment burden is high in celiac disease compared with other common conditions. </w:t>
      </w:r>
      <w:r w:rsidRPr="00EF1435">
        <w:rPr>
          <w:rFonts w:ascii="Arial" w:eastAsia="Times New Roman" w:hAnsi="Arial" w:cs="Arial"/>
          <w:i/>
          <w:iCs/>
          <w:color w:val="000000"/>
        </w:rPr>
        <w:t>Am J Gastroenterol, 109</w:t>
      </w:r>
      <w:r w:rsidRPr="00EF1435">
        <w:rPr>
          <w:rFonts w:ascii="Arial" w:eastAsia="Times New Roman" w:hAnsi="Arial" w:cs="Arial"/>
          <w:color w:val="000000"/>
        </w:rPr>
        <w:t>(9), 1304-11. doi:10.1038/ajg.2014.29</w:t>
      </w:r>
    </w:p>
    <w:p w14:paraId="6C7820C7" w14:textId="77777777" w:rsidR="00770FE6" w:rsidRDefault="00770FE6" w:rsidP="00F728AC"/>
    <w:sectPr w:rsidR="00770FE6" w:rsidSect="00D5558A">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B2738" w14:textId="77777777" w:rsidR="00AB7BE1" w:rsidRDefault="00AB7BE1" w:rsidP="00AB7BE1">
      <w:pPr>
        <w:spacing w:after="0" w:line="240" w:lineRule="auto"/>
      </w:pPr>
      <w:r>
        <w:separator/>
      </w:r>
    </w:p>
  </w:endnote>
  <w:endnote w:type="continuationSeparator" w:id="0">
    <w:p w14:paraId="0847B70D" w14:textId="77777777" w:rsidR="00AB7BE1" w:rsidRDefault="00AB7BE1" w:rsidP="00AB7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4525" w14:textId="77777777" w:rsidR="00F728AC" w:rsidRPr="0019003F" w:rsidRDefault="00F728AC" w:rsidP="00F728AC">
    <w:pPr>
      <w:jc w:val="center"/>
      <w:rPr>
        <w:b/>
        <w:color w:val="FFC000"/>
        <w:sz w:val="40"/>
        <w:szCs w:val="40"/>
      </w:rPr>
    </w:pPr>
    <w:r>
      <w:rPr>
        <w:b/>
        <w:color w:val="FFC000"/>
        <w:sz w:val="40"/>
        <w:szCs w:val="40"/>
      </w:rPr>
      <w:t>www.B</w:t>
    </w:r>
    <w:r w:rsidRPr="0019003F">
      <w:rPr>
        <w:b/>
        <w:color w:val="FFC000"/>
        <w:sz w:val="40"/>
        <w:szCs w:val="40"/>
      </w:rPr>
      <w:t>eyond</w:t>
    </w:r>
    <w:r>
      <w:rPr>
        <w:b/>
        <w:color w:val="92D050"/>
        <w:sz w:val="40"/>
        <w:szCs w:val="40"/>
      </w:rPr>
      <w:t>C</w:t>
    </w:r>
    <w:r w:rsidRPr="0019003F">
      <w:rPr>
        <w:b/>
        <w:color w:val="92D050"/>
        <w:sz w:val="40"/>
        <w:szCs w:val="40"/>
      </w:rPr>
      <w:t>eliac</w:t>
    </w:r>
    <w:r w:rsidRPr="0019003F">
      <w:rPr>
        <w:b/>
        <w:color w:val="FFC000"/>
        <w:sz w:val="40"/>
        <w:szCs w:val="40"/>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4CAC4" w14:textId="77777777" w:rsidR="00AB7BE1" w:rsidRDefault="00AB7BE1" w:rsidP="00AB7BE1">
      <w:pPr>
        <w:spacing w:after="0" w:line="240" w:lineRule="auto"/>
      </w:pPr>
      <w:r>
        <w:separator/>
      </w:r>
    </w:p>
  </w:footnote>
  <w:footnote w:type="continuationSeparator" w:id="0">
    <w:p w14:paraId="4D53EF28" w14:textId="77777777" w:rsidR="00AB7BE1" w:rsidRDefault="00AB7BE1" w:rsidP="00AB7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DAEB" w14:textId="7F88ECC7" w:rsidR="00D5558A" w:rsidRDefault="006060F1" w:rsidP="006060F1">
    <w:pPr>
      <w:pStyle w:val="Header"/>
      <w:jc w:val="right"/>
    </w:pPr>
    <w:r>
      <w:rPr>
        <w:noProof/>
      </w:rPr>
      <w:drawing>
        <wp:anchor distT="0" distB="0" distL="114300" distR="114300" simplePos="0" relativeHeight="251664384" behindDoc="0" locked="0" layoutInCell="1" allowOverlap="1" wp14:anchorId="406C9F9E" wp14:editId="7A9DB471">
          <wp:simplePos x="0" y="0"/>
          <wp:positionH relativeFrom="column">
            <wp:posOffset>4248150</wp:posOffset>
          </wp:positionH>
          <wp:positionV relativeFrom="paragraph">
            <wp:posOffset>-200025</wp:posOffset>
          </wp:positionV>
          <wp:extent cx="2133600" cy="8121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NewLogo.2019.CMYK.png"/>
                  <pic:cNvPicPr/>
                </pic:nvPicPr>
                <pic:blipFill>
                  <a:blip r:embed="rId1">
                    <a:extLst>
                      <a:ext uri="{28A0092B-C50C-407E-A947-70E740481C1C}">
                        <a14:useLocalDpi xmlns:a14="http://schemas.microsoft.com/office/drawing/2010/main" val="0"/>
                      </a:ext>
                    </a:extLst>
                  </a:blip>
                  <a:stretch>
                    <a:fillRect/>
                  </a:stretch>
                </pic:blipFill>
                <pic:spPr>
                  <a:xfrm>
                    <a:off x="0" y="0"/>
                    <a:ext cx="2133600" cy="812165"/>
                  </a:xfrm>
                  <a:prstGeom prst="rect">
                    <a:avLst/>
                  </a:prstGeom>
                </pic:spPr>
              </pic:pic>
            </a:graphicData>
          </a:graphic>
          <wp14:sizeRelH relativeFrom="margin">
            <wp14:pctWidth>0</wp14:pctWidth>
          </wp14:sizeRelH>
          <wp14:sizeRelV relativeFrom="margin">
            <wp14:pctHeight>0</wp14:pctHeight>
          </wp14:sizeRelV>
        </wp:anchor>
      </w:drawing>
    </w:r>
    <w:r w:rsidR="00F728AC" w:rsidRPr="00D5558A">
      <w:rPr>
        <w:noProof/>
      </w:rPr>
      <mc:AlternateContent>
        <mc:Choice Requires="wps">
          <w:drawing>
            <wp:anchor distT="0" distB="0" distL="114300" distR="114300" simplePos="0" relativeHeight="251663360" behindDoc="0" locked="0" layoutInCell="1" allowOverlap="1" wp14:anchorId="6739C074" wp14:editId="42F07BC3">
              <wp:simplePos x="0" y="0"/>
              <wp:positionH relativeFrom="column">
                <wp:posOffset>5133975</wp:posOffset>
              </wp:positionH>
              <wp:positionV relativeFrom="paragraph">
                <wp:posOffset>676275</wp:posOffset>
              </wp:positionV>
              <wp:extent cx="1318260" cy="6000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60C544" w14:textId="77777777" w:rsidR="00D5558A" w:rsidRPr="00AB7BE1" w:rsidRDefault="00D5558A" w:rsidP="00D5558A">
                          <w:pPr>
                            <w:spacing w:after="0" w:line="240" w:lineRule="auto"/>
                            <w:jc w:val="right"/>
                            <w:rPr>
                              <w:rFonts w:eastAsia="Times New Roman" w:cs="Times New Roman"/>
                              <w:bCs/>
                              <w:color w:val="7C9A40"/>
                              <w:sz w:val="20"/>
                              <w:szCs w:val="20"/>
                            </w:rPr>
                          </w:pPr>
                          <w:r w:rsidRPr="00AB7BE1">
                            <w:rPr>
                              <w:rFonts w:eastAsia="Times New Roman" w:cs="Times New Roman"/>
                              <w:bCs/>
                              <w:color w:val="7C9A40"/>
                              <w:sz w:val="20"/>
                              <w:szCs w:val="20"/>
                            </w:rPr>
                            <w:t>P.O. Box 544</w:t>
                          </w:r>
                        </w:p>
                        <w:p w14:paraId="177C90AE" w14:textId="77777777" w:rsidR="00D5558A" w:rsidRPr="00AB7BE1" w:rsidRDefault="00D5558A" w:rsidP="00D5558A">
                          <w:pPr>
                            <w:spacing w:after="0" w:line="240" w:lineRule="auto"/>
                            <w:jc w:val="right"/>
                            <w:rPr>
                              <w:rFonts w:eastAsia="Times New Roman" w:cs="Times New Roman"/>
                              <w:bCs/>
                              <w:color w:val="7C9A40"/>
                              <w:sz w:val="20"/>
                              <w:szCs w:val="20"/>
                            </w:rPr>
                          </w:pPr>
                          <w:r w:rsidRPr="00AB7BE1">
                            <w:rPr>
                              <w:rFonts w:eastAsia="Times New Roman" w:cs="Times New Roman"/>
                              <w:bCs/>
                              <w:color w:val="7C9A40"/>
                              <w:sz w:val="20"/>
                              <w:szCs w:val="20"/>
                            </w:rPr>
                            <w:t>Ambler, PA 19002</w:t>
                          </w:r>
                        </w:p>
                        <w:p w14:paraId="20C727EC" w14:textId="77777777" w:rsidR="00D5558A" w:rsidRPr="00AB7BE1" w:rsidRDefault="00D5558A" w:rsidP="00D5558A">
                          <w:pPr>
                            <w:spacing w:after="0" w:line="240" w:lineRule="auto"/>
                            <w:jc w:val="right"/>
                            <w:rPr>
                              <w:rFonts w:eastAsia="Times New Roman" w:cs="Times New Roman"/>
                              <w:bCs/>
                              <w:color w:val="7C9A40"/>
                              <w:sz w:val="20"/>
                              <w:szCs w:val="20"/>
                            </w:rPr>
                          </w:pPr>
                          <w:r w:rsidRPr="00AB7BE1">
                            <w:rPr>
                              <w:rFonts w:eastAsia="Times New Roman" w:cs="Times New Roman"/>
                              <w:bCs/>
                              <w:color w:val="7C9A40"/>
                              <w:sz w:val="20"/>
                              <w:szCs w:val="20"/>
                            </w:rPr>
                            <w:t>215.325.1306</w:t>
                          </w:r>
                        </w:p>
                        <w:p w14:paraId="135351DE" w14:textId="77777777" w:rsidR="00D5558A" w:rsidRPr="00AB7BE1" w:rsidRDefault="00D5558A" w:rsidP="00D5558A">
                          <w:pPr>
                            <w:spacing w:after="0" w:line="240" w:lineRule="auto"/>
                            <w:rPr>
                              <w:rFonts w:eastAsia="Times New Roman" w:cs="Times New Roman"/>
                              <w:bCs/>
                              <w:color w:val="7C9A40"/>
                              <w:sz w:val="20"/>
                              <w:szCs w:val="20"/>
                            </w:rPr>
                          </w:pPr>
                        </w:p>
                        <w:p w14:paraId="7E786FE9" w14:textId="77777777" w:rsidR="00D5558A" w:rsidRPr="00AB7BE1" w:rsidRDefault="00D5558A" w:rsidP="00D5558A">
                          <w:pPr>
                            <w:rPr>
                              <w:color w:val="7C9A4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39C074" id="_x0000_t202" coordsize="21600,21600" o:spt="202" path="m,l,21600r21600,l21600,xe">
              <v:stroke joinstyle="miter"/>
              <v:path gradientshapeok="t" o:connecttype="rect"/>
            </v:shapetype>
            <v:shape id="Text Box 3" o:spid="_x0000_s1026" type="#_x0000_t202" style="position:absolute;left:0;text-align:left;margin-left:404.25pt;margin-top:53.25pt;width:103.8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" stroked="f">
              <v:textbox>
                <w:txbxContent>
                  <w:p w14:paraId="2C60C544" w14:textId="77777777" w:rsidR="00D5558A" w:rsidRPr="00AB7BE1" w:rsidRDefault="00D5558A" w:rsidP="00D5558A">
                    <w:pPr>
                      <w:spacing w:after="0" w:line="240" w:lineRule="auto"/>
                      <w:jc w:val="right"/>
                      <w:rPr>
                        <w:rFonts w:eastAsia="Times New Roman" w:cs="Times New Roman"/>
                        <w:bCs/>
                        <w:color w:val="7C9A40"/>
                        <w:sz w:val="20"/>
                        <w:szCs w:val="20"/>
                      </w:rPr>
                    </w:pPr>
                    <w:r w:rsidRPr="00AB7BE1">
                      <w:rPr>
                        <w:rFonts w:eastAsia="Times New Roman" w:cs="Times New Roman"/>
                        <w:bCs/>
                        <w:color w:val="7C9A40"/>
                        <w:sz w:val="20"/>
                        <w:szCs w:val="20"/>
                      </w:rPr>
                      <w:t>P.O. Box 544</w:t>
                    </w:r>
                  </w:p>
                  <w:p w14:paraId="177C90AE" w14:textId="77777777" w:rsidR="00D5558A" w:rsidRPr="00AB7BE1" w:rsidRDefault="00D5558A" w:rsidP="00D5558A">
                    <w:pPr>
                      <w:spacing w:after="0" w:line="240" w:lineRule="auto"/>
                      <w:jc w:val="right"/>
                      <w:rPr>
                        <w:rFonts w:eastAsia="Times New Roman" w:cs="Times New Roman"/>
                        <w:bCs/>
                        <w:color w:val="7C9A40"/>
                        <w:sz w:val="20"/>
                        <w:szCs w:val="20"/>
                      </w:rPr>
                    </w:pPr>
                    <w:r w:rsidRPr="00AB7BE1">
                      <w:rPr>
                        <w:rFonts w:eastAsia="Times New Roman" w:cs="Times New Roman"/>
                        <w:bCs/>
                        <w:color w:val="7C9A40"/>
                        <w:sz w:val="20"/>
                        <w:szCs w:val="20"/>
                      </w:rPr>
                      <w:t>Ambler, PA 19002</w:t>
                    </w:r>
                  </w:p>
                  <w:p w14:paraId="20C727EC" w14:textId="77777777" w:rsidR="00D5558A" w:rsidRPr="00AB7BE1" w:rsidRDefault="00D5558A" w:rsidP="00D5558A">
                    <w:pPr>
                      <w:spacing w:after="0" w:line="240" w:lineRule="auto"/>
                      <w:jc w:val="right"/>
                      <w:rPr>
                        <w:rFonts w:eastAsia="Times New Roman" w:cs="Times New Roman"/>
                        <w:bCs/>
                        <w:color w:val="7C9A40"/>
                        <w:sz w:val="20"/>
                        <w:szCs w:val="20"/>
                      </w:rPr>
                    </w:pPr>
                    <w:r w:rsidRPr="00AB7BE1">
                      <w:rPr>
                        <w:rFonts w:eastAsia="Times New Roman" w:cs="Times New Roman"/>
                        <w:bCs/>
                        <w:color w:val="7C9A40"/>
                        <w:sz w:val="20"/>
                        <w:szCs w:val="20"/>
                      </w:rPr>
                      <w:t>215.325.1306</w:t>
                    </w:r>
                  </w:p>
                  <w:p w14:paraId="135351DE" w14:textId="77777777" w:rsidR="00D5558A" w:rsidRPr="00AB7BE1" w:rsidRDefault="00D5558A" w:rsidP="00D5558A">
                    <w:pPr>
                      <w:spacing w:after="0" w:line="240" w:lineRule="auto"/>
                      <w:rPr>
                        <w:rFonts w:eastAsia="Times New Roman" w:cs="Times New Roman"/>
                        <w:bCs/>
                        <w:color w:val="7C9A40"/>
                        <w:sz w:val="20"/>
                        <w:szCs w:val="20"/>
                      </w:rPr>
                    </w:pPr>
                  </w:p>
                  <w:p w14:paraId="7E786FE9" w14:textId="77777777" w:rsidR="00D5558A" w:rsidRPr="00AB7BE1" w:rsidRDefault="00D5558A" w:rsidP="00D5558A">
                    <w:pPr>
                      <w:rPr>
                        <w:color w:val="7C9A40"/>
                        <w:sz w:val="20"/>
                        <w:szCs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221B"/>
    <w:multiLevelType w:val="multilevel"/>
    <w:tmpl w:val="42E49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6315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mailMerge>
    <w:mainDocumentType w:val="formLetters"/>
    <w:linkToQuery/>
    <w:dataType w:val="native"/>
    <w:query w:val="SELECT * FROM `Invitations$`"/>
  </w:mailMerge>
  <w:defaultTabStop w:val="720"/>
  <w:characterSpacingControl w:val="doNotCompress"/>
  <w:hdrShapeDefaults>
    <o:shapedefaults v:ext="edit" spidmax="12289">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4A4"/>
    <w:rsid w:val="00041E4F"/>
    <w:rsid w:val="00076F8D"/>
    <w:rsid w:val="000B6211"/>
    <w:rsid w:val="000C2A67"/>
    <w:rsid w:val="000F349F"/>
    <w:rsid w:val="00110D00"/>
    <w:rsid w:val="00110E1E"/>
    <w:rsid w:val="00114BF9"/>
    <w:rsid w:val="001853DE"/>
    <w:rsid w:val="001857DE"/>
    <w:rsid w:val="0019003F"/>
    <w:rsid w:val="001A2D7F"/>
    <w:rsid w:val="001B3CA8"/>
    <w:rsid w:val="001C799A"/>
    <w:rsid w:val="00206440"/>
    <w:rsid w:val="00212FBC"/>
    <w:rsid w:val="002224C9"/>
    <w:rsid w:val="00225A5C"/>
    <w:rsid w:val="00263B4E"/>
    <w:rsid w:val="00270432"/>
    <w:rsid w:val="002706B0"/>
    <w:rsid w:val="00271D3D"/>
    <w:rsid w:val="00284366"/>
    <w:rsid w:val="00293909"/>
    <w:rsid w:val="002A3E4E"/>
    <w:rsid w:val="002A5809"/>
    <w:rsid w:val="002B550F"/>
    <w:rsid w:val="002C351A"/>
    <w:rsid w:val="002C37CA"/>
    <w:rsid w:val="002C5960"/>
    <w:rsid w:val="002C66FB"/>
    <w:rsid w:val="003142EA"/>
    <w:rsid w:val="00326231"/>
    <w:rsid w:val="003402E5"/>
    <w:rsid w:val="00340720"/>
    <w:rsid w:val="00354EC4"/>
    <w:rsid w:val="00360645"/>
    <w:rsid w:val="0037638A"/>
    <w:rsid w:val="00386DC3"/>
    <w:rsid w:val="0039520E"/>
    <w:rsid w:val="00396AEA"/>
    <w:rsid w:val="003B201C"/>
    <w:rsid w:val="003B405C"/>
    <w:rsid w:val="003E49AD"/>
    <w:rsid w:val="003E753F"/>
    <w:rsid w:val="003F60ED"/>
    <w:rsid w:val="00406825"/>
    <w:rsid w:val="00421E93"/>
    <w:rsid w:val="00435E60"/>
    <w:rsid w:val="004455D3"/>
    <w:rsid w:val="00445E6A"/>
    <w:rsid w:val="00484655"/>
    <w:rsid w:val="00490401"/>
    <w:rsid w:val="004A0A50"/>
    <w:rsid w:val="004A76FE"/>
    <w:rsid w:val="004C4C8B"/>
    <w:rsid w:val="004D11F8"/>
    <w:rsid w:val="004F0E29"/>
    <w:rsid w:val="004F37C7"/>
    <w:rsid w:val="0053118D"/>
    <w:rsid w:val="005524A4"/>
    <w:rsid w:val="00580ED1"/>
    <w:rsid w:val="00582CC3"/>
    <w:rsid w:val="005B14EE"/>
    <w:rsid w:val="005E1E69"/>
    <w:rsid w:val="005F486B"/>
    <w:rsid w:val="005F4CC6"/>
    <w:rsid w:val="006027B0"/>
    <w:rsid w:val="006060F1"/>
    <w:rsid w:val="00651F42"/>
    <w:rsid w:val="006800B9"/>
    <w:rsid w:val="00687E65"/>
    <w:rsid w:val="006B13D0"/>
    <w:rsid w:val="006C22A5"/>
    <w:rsid w:val="006F03F6"/>
    <w:rsid w:val="00701A50"/>
    <w:rsid w:val="00704B96"/>
    <w:rsid w:val="00706E87"/>
    <w:rsid w:val="00743926"/>
    <w:rsid w:val="00760B71"/>
    <w:rsid w:val="0076607A"/>
    <w:rsid w:val="00770DC3"/>
    <w:rsid w:val="00770FE6"/>
    <w:rsid w:val="00797716"/>
    <w:rsid w:val="00797C3A"/>
    <w:rsid w:val="007B4E0A"/>
    <w:rsid w:val="007D62C6"/>
    <w:rsid w:val="007E18CD"/>
    <w:rsid w:val="007E30E5"/>
    <w:rsid w:val="007E52C2"/>
    <w:rsid w:val="007E762C"/>
    <w:rsid w:val="008101F0"/>
    <w:rsid w:val="00810693"/>
    <w:rsid w:val="00837B69"/>
    <w:rsid w:val="008575C6"/>
    <w:rsid w:val="00872422"/>
    <w:rsid w:val="008943A6"/>
    <w:rsid w:val="008A6725"/>
    <w:rsid w:val="008E1193"/>
    <w:rsid w:val="00907B4A"/>
    <w:rsid w:val="009157EC"/>
    <w:rsid w:val="00932C3E"/>
    <w:rsid w:val="00944E6E"/>
    <w:rsid w:val="00946AF7"/>
    <w:rsid w:val="00957754"/>
    <w:rsid w:val="00974151"/>
    <w:rsid w:val="00974CA1"/>
    <w:rsid w:val="009842B2"/>
    <w:rsid w:val="009F30D9"/>
    <w:rsid w:val="009F6655"/>
    <w:rsid w:val="00A02ED8"/>
    <w:rsid w:val="00A27160"/>
    <w:rsid w:val="00A706D6"/>
    <w:rsid w:val="00A95F85"/>
    <w:rsid w:val="00AA74C5"/>
    <w:rsid w:val="00AB07D8"/>
    <w:rsid w:val="00AB7BE1"/>
    <w:rsid w:val="00AC3BE2"/>
    <w:rsid w:val="00AF30A6"/>
    <w:rsid w:val="00B04A05"/>
    <w:rsid w:val="00B256D6"/>
    <w:rsid w:val="00B6302D"/>
    <w:rsid w:val="00BC5657"/>
    <w:rsid w:val="00BD6384"/>
    <w:rsid w:val="00BE1DDC"/>
    <w:rsid w:val="00C03D85"/>
    <w:rsid w:val="00C2429C"/>
    <w:rsid w:val="00C3509E"/>
    <w:rsid w:val="00C35C50"/>
    <w:rsid w:val="00C47362"/>
    <w:rsid w:val="00C63448"/>
    <w:rsid w:val="00C65213"/>
    <w:rsid w:val="00C664D5"/>
    <w:rsid w:val="00C70D43"/>
    <w:rsid w:val="00C8694C"/>
    <w:rsid w:val="00C87938"/>
    <w:rsid w:val="00CC62E9"/>
    <w:rsid w:val="00CC6B96"/>
    <w:rsid w:val="00CD2A93"/>
    <w:rsid w:val="00D078C6"/>
    <w:rsid w:val="00D1006A"/>
    <w:rsid w:val="00D21503"/>
    <w:rsid w:val="00D5558A"/>
    <w:rsid w:val="00D574B1"/>
    <w:rsid w:val="00D71CC0"/>
    <w:rsid w:val="00D72935"/>
    <w:rsid w:val="00D83FF4"/>
    <w:rsid w:val="00D84CB2"/>
    <w:rsid w:val="00D90AD5"/>
    <w:rsid w:val="00DA4C6F"/>
    <w:rsid w:val="00DD4C37"/>
    <w:rsid w:val="00DE0D51"/>
    <w:rsid w:val="00DF5AF9"/>
    <w:rsid w:val="00E11330"/>
    <w:rsid w:val="00E2383D"/>
    <w:rsid w:val="00E4695E"/>
    <w:rsid w:val="00E604A7"/>
    <w:rsid w:val="00E60DE9"/>
    <w:rsid w:val="00E6320C"/>
    <w:rsid w:val="00E6668A"/>
    <w:rsid w:val="00E737B3"/>
    <w:rsid w:val="00E948E6"/>
    <w:rsid w:val="00E95193"/>
    <w:rsid w:val="00EA5025"/>
    <w:rsid w:val="00EB5549"/>
    <w:rsid w:val="00EB6AEA"/>
    <w:rsid w:val="00EC0AC5"/>
    <w:rsid w:val="00EE4A35"/>
    <w:rsid w:val="00EF13D5"/>
    <w:rsid w:val="00EF7BD8"/>
    <w:rsid w:val="00F01377"/>
    <w:rsid w:val="00F05F76"/>
    <w:rsid w:val="00F17D96"/>
    <w:rsid w:val="00F42AC8"/>
    <w:rsid w:val="00F728AC"/>
    <w:rsid w:val="00F7479D"/>
    <w:rsid w:val="00F76FCC"/>
    <w:rsid w:val="00FA25B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enu v:ext="edit" fillcolor="none" strokecolor="none"/>
    </o:shapedefaults>
    <o:shapelayout v:ext="edit">
      <o:idmap v:ext="edit" data="1"/>
    </o:shapelayout>
  </w:shapeDefaults>
  <w:decimalSymbol w:val="."/>
  <w:listSeparator w:val=","/>
  <w14:docId w14:val="208EABEE"/>
  <w15:docId w15:val="{9A4133EB-BF8F-444F-953B-7EA354DE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524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4A4"/>
    <w:rPr>
      <w:rFonts w:ascii="Tahoma" w:hAnsi="Tahoma" w:cs="Tahoma"/>
      <w:sz w:val="16"/>
      <w:szCs w:val="16"/>
    </w:rPr>
  </w:style>
  <w:style w:type="character" w:customStyle="1" w:styleId="Heading3Char">
    <w:name w:val="Heading 3 Char"/>
    <w:basedOn w:val="DefaultParagraphFont"/>
    <w:link w:val="Heading3"/>
    <w:uiPriority w:val="9"/>
    <w:rsid w:val="005524A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524A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24A4"/>
    <w:rPr>
      <w:i/>
      <w:iCs/>
    </w:rPr>
  </w:style>
  <w:style w:type="character" w:styleId="Strong">
    <w:name w:val="Strong"/>
    <w:basedOn w:val="DefaultParagraphFont"/>
    <w:uiPriority w:val="22"/>
    <w:qFormat/>
    <w:rsid w:val="005524A4"/>
    <w:rPr>
      <w:b/>
      <w:bCs/>
    </w:rPr>
  </w:style>
  <w:style w:type="character" w:styleId="Hyperlink">
    <w:name w:val="Hyperlink"/>
    <w:basedOn w:val="DefaultParagraphFont"/>
    <w:uiPriority w:val="99"/>
    <w:unhideWhenUsed/>
    <w:rsid w:val="005524A4"/>
    <w:rPr>
      <w:color w:val="0000FF"/>
      <w:u w:val="single"/>
    </w:rPr>
  </w:style>
  <w:style w:type="paragraph" w:styleId="Header">
    <w:name w:val="header"/>
    <w:basedOn w:val="Normal"/>
    <w:link w:val="HeaderChar"/>
    <w:uiPriority w:val="99"/>
    <w:unhideWhenUsed/>
    <w:rsid w:val="00AB7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BE1"/>
  </w:style>
  <w:style w:type="paragraph" w:styleId="Footer">
    <w:name w:val="footer"/>
    <w:basedOn w:val="Normal"/>
    <w:link w:val="FooterChar"/>
    <w:uiPriority w:val="99"/>
    <w:unhideWhenUsed/>
    <w:rsid w:val="00AB7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BE1"/>
  </w:style>
  <w:style w:type="character" w:styleId="UnresolvedMention">
    <w:name w:val="Unresolved Mention"/>
    <w:basedOn w:val="DefaultParagraphFont"/>
    <w:uiPriority w:val="99"/>
    <w:semiHidden/>
    <w:unhideWhenUsed/>
    <w:rsid w:val="007E1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982844">
      <w:bodyDiv w:val="1"/>
      <w:marLeft w:val="0"/>
      <w:marRight w:val="0"/>
      <w:marTop w:val="0"/>
      <w:marBottom w:val="0"/>
      <w:divBdr>
        <w:top w:val="none" w:sz="0" w:space="0" w:color="auto"/>
        <w:left w:val="none" w:sz="0" w:space="0" w:color="auto"/>
        <w:bottom w:val="none" w:sz="0" w:space="0" w:color="auto"/>
        <w:right w:val="none" w:sz="0" w:space="0" w:color="auto"/>
      </w:divBdr>
    </w:div>
    <w:div w:id="1143501250">
      <w:bodyDiv w:val="1"/>
      <w:marLeft w:val="0"/>
      <w:marRight w:val="0"/>
      <w:marTop w:val="0"/>
      <w:marBottom w:val="0"/>
      <w:divBdr>
        <w:top w:val="none" w:sz="0" w:space="0" w:color="auto"/>
        <w:left w:val="none" w:sz="0" w:space="0" w:color="auto"/>
        <w:bottom w:val="none" w:sz="0" w:space="0" w:color="auto"/>
        <w:right w:val="none" w:sz="0" w:space="0" w:color="auto"/>
      </w:divBdr>
    </w:div>
    <w:div w:id="149752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beyondceliac.org" TargetMode="External"/><Relationship Id="rId13" Type="http://schemas.openxmlformats.org/officeDocument/2006/relationships/hyperlink" Target="https://pubmed.ncbi.nlm.nih.gov/3188066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ubmed.ncbi.nlm.nih.gov/28644353/" TargetMode="Externa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hyperlink" Target="https://pubmed.ncbi.nlm.nih.gov/2498088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lww.com/jpgn/Fulltext/2017/02000/Value_of_IgA_tTG_in_Predicting_Mucosal_Recovery_in.23.aspx" TargetMode="External"/><Relationship Id="rId5" Type="http://schemas.openxmlformats.org/officeDocument/2006/relationships/webSettings" Target="webSettings.xml"/><Relationship Id="rId15" Type="http://schemas.openxmlformats.org/officeDocument/2006/relationships/hyperlink" Target="https://www.gastrojournal.org/article/S0016-5085(20)30239-0/fulltext" TargetMode="External"/><Relationship Id="rId10" Type="http://schemas.openxmlformats.org/officeDocument/2006/relationships/hyperlink" Target="https://www.ncbi.nlm.nih.gov/pmc/articles/PMC788759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eyondceliac.org" TargetMode="External"/><Relationship Id="rId14" Type="http://schemas.openxmlformats.org/officeDocument/2006/relationships/hyperlink" Target="https://pubmed.ncbi.nlm.nih.gov/293879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D415C-647D-4D25-90DF-6EF792F16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North</dc:creator>
  <cp:lastModifiedBy>Bailey Arman</cp:lastModifiedBy>
  <cp:revision>10</cp:revision>
  <cp:lastPrinted>2014-11-09T23:33:00Z</cp:lastPrinted>
  <dcterms:created xsi:type="dcterms:W3CDTF">2022-08-12T18:55:00Z</dcterms:created>
  <dcterms:modified xsi:type="dcterms:W3CDTF">2022-08-15T14:12:00Z</dcterms:modified>
</cp:coreProperties>
</file>